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535E" w:rsidRDefault="0000535E">
      <w:pPr>
        <w:pStyle w:val="BodyText"/>
        <w:rPr>
          <w:sz w:val="22"/>
        </w:rPr>
      </w:pPr>
    </w:p>
    <w:p w:rsidR="0000535E" w:rsidRDefault="0000535E">
      <w:pPr>
        <w:pStyle w:val="BodyText"/>
        <w:rPr>
          <w:sz w:val="22"/>
        </w:rPr>
      </w:pPr>
    </w:p>
    <w:p w:rsidR="0000535E" w:rsidRDefault="0000535E">
      <w:pPr>
        <w:pStyle w:val="BodyText"/>
        <w:rPr>
          <w:sz w:val="22"/>
        </w:rPr>
      </w:pPr>
    </w:p>
    <w:p w:rsidR="0000535E" w:rsidRDefault="0000535E">
      <w:pPr>
        <w:pStyle w:val="BodyText"/>
        <w:rPr>
          <w:sz w:val="22"/>
        </w:rPr>
      </w:pPr>
    </w:p>
    <w:p w:rsidR="0000535E" w:rsidRDefault="0000535E">
      <w:pPr>
        <w:pStyle w:val="BodyText"/>
        <w:spacing w:before="245"/>
        <w:rPr>
          <w:sz w:val="22"/>
        </w:rPr>
      </w:pPr>
    </w:p>
    <w:p w:rsidR="0000535E" w:rsidRDefault="002A3553">
      <w:pPr>
        <w:ind w:left="1115" w:right="1115"/>
        <w:jc w:val="center"/>
        <w:rPr>
          <w:b/>
        </w:rPr>
      </w:pPr>
      <w:r w:rsidRPr="002A3553">
        <w:rPr>
          <w:b/>
        </w:rPr>
        <w:pict>
          <v:group id="docshapegroup1" o:spid="_x0000_s1026" style="position:absolute;left:0;text-align:left;margin-left:0;margin-top:-75.65pt;width:594.55pt;height:1in;z-index:15728640;mso-position-horizontal-relative:page" coordorigin=",-1513" coordsize="11891,1440">
            <v:rect id="docshape2" o:spid="_x0000_s1028" style="position:absolute;top:-1513;width:11891;height:1440" fillcolor="#3f9597" stroked="f"/>
            <v:shapetype id="_x0000_t202" coordsize="21600,21600" o:spt="202" path="m,l,21600r21600,l21600,xe">
              <v:stroke joinstyle="miter"/>
              <v:path gradientshapeok="t" o:connecttype="rect"/>
            </v:shapetype>
            <v:shape id="docshape3" o:spid="_x0000_s1027" type="#_x0000_t202" style="position:absolute;top:-1513;width:11891;height:1440" filled="f" stroked="f">
              <v:textbox inset="0,0,0,0">
                <w:txbxContent>
                  <w:p w:rsidR="0000535E" w:rsidRDefault="0004078F">
                    <w:pPr>
                      <w:spacing w:before="98"/>
                      <w:ind w:left="1590" w:right="1575"/>
                      <w:jc w:val="center"/>
                      <w:rPr>
                        <w:rFonts w:ascii="Cambria" w:hAnsi="Cambria"/>
                        <w:b/>
                        <w:sz w:val="26"/>
                      </w:rPr>
                    </w:pPr>
                    <w:r>
                      <w:rPr>
                        <w:rFonts w:ascii="Cambria" w:hAnsi="Cambria"/>
                        <w:b/>
                        <w:color w:val="FFFFFF"/>
                        <w:sz w:val="26"/>
                      </w:rPr>
                      <w:t>ОШ</w:t>
                    </w:r>
                    <w:r>
                      <w:rPr>
                        <w:rFonts w:ascii="Cambria" w:hAnsi="Cambria"/>
                        <w:b/>
                        <w:color w:val="FFFFFF"/>
                        <w:spacing w:val="-9"/>
                        <w:sz w:val="26"/>
                      </w:rPr>
                      <w:t xml:space="preserve"> </w:t>
                    </w:r>
                    <w:r>
                      <w:rPr>
                        <w:rFonts w:ascii="Cambria" w:hAnsi="Cambria"/>
                        <w:b/>
                        <w:color w:val="FFFFFF"/>
                        <w:sz w:val="26"/>
                      </w:rPr>
                      <w:t>МАМЛЕКЕТТИК</w:t>
                    </w:r>
                    <w:r>
                      <w:rPr>
                        <w:rFonts w:ascii="Cambria" w:hAnsi="Cambria"/>
                        <w:b/>
                        <w:color w:val="FFFFFF"/>
                        <w:spacing w:val="-6"/>
                        <w:sz w:val="26"/>
                      </w:rPr>
                      <w:t xml:space="preserve"> </w:t>
                    </w:r>
                    <w:r>
                      <w:rPr>
                        <w:rFonts w:ascii="Cambria" w:hAnsi="Cambria"/>
                        <w:b/>
                        <w:color w:val="FFFFFF"/>
                        <w:sz w:val="26"/>
                      </w:rPr>
                      <w:t>УНИВЕРСИТЕТИНИН</w:t>
                    </w:r>
                    <w:r>
                      <w:rPr>
                        <w:rFonts w:ascii="Cambria" w:hAnsi="Cambria"/>
                        <w:b/>
                        <w:color w:val="FFFFFF"/>
                        <w:spacing w:val="-6"/>
                        <w:sz w:val="26"/>
                      </w:rPr>
                      <w:t xml:space="preserve"> </w:t>
                    </w:r>
                    <w:r>
                      <w:rPr>
                        <w:rFonts w:ascii="Cambria" w:hAnsi="Cambria"/>
                        <w:b/>
                        <w:color w:val="FFFFFF"/>
                        <w:sz w:val="26"/>
                      </w:rPr>
                      <w:t>ЖАРЧЫСЫ.</w:t>
                    </w:r>
                    <w:r>
                      <w:rPr>
                        <w:rFonts w:ascii="Cambria" w:hAnsi="Cambria"/>
                        <w:b/>
                        <w:color w:val="FFFFFF"/>
                        <w:spacing w:val="-6"/>
                        <w:sz w:val="26"/>
                      </w:rPr>
                      <w:t xml:space="preserve"> </w:t>
                    </w:r>
                    <w:r>
                      <w:rPr>
                        <w:rFonts w:ascii="Cambria" w:hAnsi="Cambria"/>
                        <w:b/>
                        <w:color w:val="FFFFFF"/>
                        <w:spacing w:val="-2"/>
                        <w:sz w:val="26"/>
                      </w:rPr>
                      <w:t>МЕДИЦИНА</w:t>
                    </w:r>
                  </w:p>
                  <w:p w:rsidR="0000535E" w:rsidRDefault="0004078F">
                    <w:pPr>
                      <w:spacing w:before="5" w:line="460" w:lineRule="atLeast"/>
                      <w:ind w:left="1590" w:right="1574"/>
                      <w:jc w:val="center"/>
                      <w:rPr>
                        <w:rFonts w:ascii="Cambria" w:hAnsi="Cambria"/>
                        <w:sz w:val="24"/>
                      </w:rPr>
                    </w:pPr>
                    <w:r>
                      <w:rPr>
                        <w:rFonts w:ascii="Cambria" w:hAnsi="Cambria"/>
                        <w:color w:val="FFFFFF"/>
                        <w:sz w:val="24"/>
                      </w:rPr>
                      <w:t>ВЕСТНИК</w:t>
                    </w:r>
                    <w:r>
                      <w:rPr>
                        <w:rFonts w:ascii="Cambria" w:hAnsi="Cambria"/>
                        <w:color w:val="FFFFFF"/>
                        <w:spacing w:val="-10"/>
                        <w:sz w:val="24"/>
                      </w:rPr>
                      <w:t xml:space="preserve"> </w:t>
                    </w:r>
                    <w:r>
                      <w:rPr>
                        <w:rFonts w:ascii="Cambria" w:hAnsi="Cambria"/>
                        <w:color w:val="FFFFFF"/>
                        <w:sz w:val="24"/>
                      </w:rPr>
                      <w:t>ОШСКОГО</w:t>
                    </w:r>
                    <w:r>
                      <w:rPr>
                        <w:rFonts w:ascii="Cambria" w:hAnsi="Cambria"/>
                        <w:color w:val="FFFFFF"/>
                        <w:spacing w:val="-10"/>
                        <w:sz w:val="24"/>
                      </w:rPr>
                      <w:t xml:space="preserve"> </w:t>
                    </w:r>
                    <w:r>
                      <w:rPr>
                        <w:rFonts w:ascii="Cambria" w:hAnsi="Cambria"/>
                        <w:color w:val="FFFFFF"/>
                        <w:sz w:val="24"/>
                      </w:rPr>
                      <w:t>ГОСУДАРСТВЕННОГО</w:t>
                    </w:r>
                    <w:r>
                      <w:rPr>
                        <w:rFonts w:ascii="Cambria" w:hAnsi="Cambria"/>
                        <w:color w:val="FFFFFF"/>
                        <w:spacing w:val="-10"/>
                        <w:sz w:val="24"/>
                      </w:rPr>
                      <w:t xml:space="preserve"> </w:t>
                    </w:r>
                    <w:r>
                      <w:rPr>
                        <w:rFonts w:ascii="Cambria" w:hAnsi="Cambria"/>
                        <w:color w:val="FFFFFF"/>
                        <w:sz w:val="24"/>
                      </w:rPr>
                      <w:t>УНИВЕРСИТЕТА.</w:t>
                    </w:r>
                    <w:r>
                      <w:rPr>
                        <w:rFonts w:ascii="Cambria" w:hAnsi="Cambria"/>
                        <w:color w:val="FFFFFF"/>
                        <w:spacing w:val="-10"/>
                        <w:sz w:val="24"/>
                      </w:rPr>
                      <w:t xml:space="preserve"> </w:t>
                    </w:r>
                    <w:r>
                      <w:rPr>
                        <w:rFonts w:ascii="Cambria" w:hAnsi="Cambria"/>
                        <w:color w:val="FFFFFF"/>
                        <w:sz w:val="24"/>
                      </w:rPr>
                      <w:t>МЕДИЦИНА JOURNAL OF OSH STATE UNIVERSITY. MEDICINE</w:t>
                    </w:r>
                  </w:p>
                </w:txbxContent>
              </v:textbox>
            </v:shape>
            <w10:wrap anchorx="page"/>
          </v:group>
        </w:pict>
      </w:r>
      <w:r w:rsidR="0004078F">
        <w:rPr>
          <w:b/>
          <w:spacing w:val="-2"/>
        </w:rPr>
        <w:t>e-ISSN:</w:t>
      </w:r>
      <w:r w:rsidR="0004078F">
        <w:rPr>
          <w:b/>
          <w:spacing w:val="8"/>
        </w:rPr>
        <w:t xml:space="preserve"> </w:t>
      </w:r>
      <w:r w:rsidR="0004078F">
        <w:rPr>
          <w:b/>
          <w:spacing w:val="-2"/>
        </w:rPr>
        <w:t>1694-</w:t>
      </w:r>
      <w:r w:rsidR="0004078F">
        <w:rPr>
          <w:b/>
          <w:spacing w:val="-4"/>
        </w:rPr>
        <w:t>8831</w:t>
      </w:r>
    </w:p>
    <w:p w:rsidR="0000535E" w:rsidRDefault="0004078F">
      <w:pPr>
        <w:spacing w:before="19"/>
        <w:ind w:left="1115" w:right="1115"/>
        <w:jc w:val="center"/>
      </w:pPr>
      <w:r>
        <w:rPr>
          <w:spacing w:val="-2"/>
        </w:rPr>
        <w:t>№2(4)/2024,</w:t>
      </w:r>
      <w:r>
        <w:rPr>
          <w:spacing w:val="10"/>
        </w:rPr>
        <w:t xml:space="preserve"> </w:t>
      </w:r>
      <w:r>
        <w:rPr>
          <w:spacing w:val="-2"/>
        </w:rPr>
        <w:t>1-</w:t>
      </w:r>
      <w:r>
        <w:rPr>
          <w:spacing w:val="-10"/>
        </w:rPr>
        <w:t>5</w:t>
      </w:r>
    </w:p>
    <w:p w:rsidR="0000535E" w:rsidRDefault="0004078F">
      <w:pPr>
        <w:spacing w:before="182"/>
        <w:ind w:left="1134"/>
        <w:rPr>
          <w:b/>
        </w:rPr>
      </w:pPr>
      <w:r>
        <w:rPr>
          <w:b/>
          <w:spacing w:val="-4"/>
        </w:rPr>
        <w:t>УДК:</w:t>
      </w:r>
    </w:p>
    <w:p w:rsidR="0000535E" w:rsidRDefault="0004078F">
      <w:pPr>
        <w:spacing w:before="18"/>
        <w:ind w:left="1134"/>
      </w:pPr>
      <w:r>
        <w:rPr>
          <w:b/>
        </w:rPr>
        <w:t>DOI:</w:t>
      </w:r>
      <w:r>
        <w:rPr>
          <w:b/>
          <w:spacing w:val="-8"/>
        </w:rPr>
        <w:t xml:space="preserve"> </w:t>
      </w:r>
    </w:p>
    <w:p w:rsidR="00774A01" w:rsidRDefault="00774A01">
      <w:pPr>
        <w:pStyle w:val="BodyText"/>
        <w:spacing w:before="179" w:line="259" w:lineRule="auto"/>
        <w:ind w:left="1115" w:right="1114"/>
        <w:jc w:val="center"/>
        <w:rPr>
          <w:b/>
          <w:bCs/>
          <w:lang w:val="en-US"/>
        </w:rPr>
      </w:pPr>
      <w:r w:rsidRPr="00774A01">
        <w:rPr>
          <w:b/>
          <w:bCs/>
          <w:lang w:val="en-US"/>
        </w:rPr>
        <w:t xml:space="preserve">The Shifting Epidemiology </w:t>
      </w:r>
      <w:r>
        <w:rPr>
          <w:b/>
          <w:bCs/>
          <w:lang w:val="en-US"/>
        </w:rPr>
        <w:t>of Measles in India (2015-2025)</w:t>
      </w:r>
    </w:p>
    <w:p w:rsidR="005966C6" w:rsidRPr="005966C6" w:rsidRDefault="005966C6" w:rsidP="005966C6">
      <w:pPr>
        <w:spacing w:before="161"/>
        <w:ind w:left="4358" w:right="4368" w:hanging="1"/>
        <w:jc w:val="center"/>
        <w:rPr>
          <w:sz w:val="24"/>
          <w:szCs w:val="24"/>
          <w:lang w:val="en-US"/>
        </w:rPr>
      </w:pPr>
      <w:r w:rsidRPr="005966C6">
        <w:rPr>
          <w:sz w:val="24"/>
          <w:szCs w:val="24"/>
        </w:rPr>
        <w:t>Изменение эпидемиологии кори в Индии (2015–2025 гг.)</w:t>
      </w:r>
    </w:p>
    <w:p w:rsidR="00D673E9" w:rsidRPr="00D673E9" w:rsidRDefault="00D673E9" w:rsidP="00562A67">
      <w:pPr>
        <w:spacing w:before="161"/>
        <w:ind w:left="4355" w:right="4366"/>
        <w:jc w:val="center"/>
        <w:rPr>
          <w:b/>
          <w:lang w:val="en-US"/>
        </w:rPr>
      </w:pPr>
      <w:r w:rsidRPr="00D673E9">
        <w:rPr>
          <w:b/>
          <w:lang w:val="en-US"/>
        </w:rPr>
        <w:t xml:space="preserve">CHOUDARI PRAKASH </w:t>
      </w:r>
      <w:r w:rsidR="00562A67" w:rsidRPr="00562A67">
        <w:rPr>
          <w:b/>
          <w:lang w:val="en-US"/>
        </w:rPr>
        <w:t>ASHWATH</w:t>
      </w:r>
    </w:p>
    <w:p w:rsidR="00562A67" w:rsidRDefault="0004078F" w:rsidP="00562A67">
      <w:pPr>
        <w:spacing w:before="161"/>
        <w:ind w:left="4358" w:right="4368" w:hanging="1"/>
        <w:jc w:val="center"/>
        <w:rPr>
          <w:i/>
          <w:lang w:val="en-US"/>
        </w:rPr>
      </w:pPr>
      <w:r>
        <w:rPr>
          <w:b/>
        </w:rPr>
        <w:t xml:space="preserve"> </w:t>
      </w:r>
      <w:r w:rsidR="00562A67" w:rsidRPr="00562A67">
        <w:rPr>
          <w:i/>
        </w:rPr>
        <w:t>ШОУДАРИ ПРАКАШ АШВАТХ</w:t>
      </w:r>
    </w:p>
    <w:p w:rsidR="006B5D0D" w:rsidRDefault="006B5D0D" w:rsidP="00562A67">
      <w:pPr>
        <w:spacing w:before="161"/>
        <w:ind w:left="4358" w:right="4368" w:hanging="1"/>
        <w:jc w:val="center"/>
        <w:rPr>
          <w:b/>
          <w:lang w:val="en-US"/>
        </w:rPr>
      </w:pPr>
      <w:r w:rsidRPr="006B5D0D">
        <w:rPr>
          <w:b/>
          <w:lang w:val="en-US"/>
        </w:rPr>
        <w:t xml:space="preserve">Kumar </w:t>
      </w:r>
      <w:proofErr w:type="spellStart"/>
      <w:r w:rsidRPr="006B5D0D">
        <w:rPr>
          <w:b/>
          <w:lang w:val="en-US"/>
        </w:rPr>
        <w:t>Rajnish</w:t>
      </w:r>
      <w:proofErr w:type="spellEnd"/>
    </w:p>
    <w:p w:rsidR="006B5D0D" w:rsidRPr="006B5D0D" w:rsidRDefault="006B5D0D" w:rsidP="006B5D0D">
      <w:pPr>
        <w:spacing w:before="161"/>
        <w:ind w:left="4358" w:right="4368" w:hanging="1"/>
        <w:jc w:val="center"/>
        <w:rPr>
          <w:lang w:val="en-US"/>
        </w:rPr>
      </w:pPr>
      <w:r w:rsidRPr="006B5D0D">
        <w:t>Кумар Раджниш</w:t>
      </w:r>
    </w:p>
    <w:p w:rsidR="006B5D0D" w:rsidRDefault="00D6561B" w:rsidP="00562A67">
      <w:pPr>
        <w:spacing w:before="161"/>
        <w:ind w:left="4358" w:right="4368" w:hanging="1"/>
        <w:jc w:val="center"/>
        <w:rPr>
          <w:b/>
          <w:lang w:val="en-US"/>
        </w:rPr>
      </w:pPr>
      <w:r w:rsidRPr="00D6561B">
        <w:rPr>
          <w:b/>
          <w:lang w:val="en-US"/>
        </w:rPr>
        <w:t xml:space="preserve">Ahmed </w:t>
      </w:r>
      <w:proofErr w:type="spellStart"/>
      <w:r w:rsidRPr="00D6561B">
        <w:rPr>
          <w:b/>
          <w:lang w:val="en-US"/>
        </w:rPr>
        <w:t>Rofique</w:t>
      </w:r>
      <w:proofErr w:type="spellEnd"/>
    </w:p>
    <w:p w:rsidR="00D6561B" w:rsidRPr="00D6561B" w:rsidRDefault="00D6561B" w:rsidP="00D6561B">
      <w:pPr>
        <w:spacing w:before="161"/>
        <w:ind w:left="4358" w:right="4368" w:hanging="1"/>
        <w:jc w:val="center"/>
        <w:rPr>
          <w:lang w:val="en-US"/>
        </w:rPr>
      </w:pPr>
      <w:r w:rsidRPr="00D6561B">
        <w:t>Ахмед Рофик</w:t>
      </w:r>
    </w:p>
    <w:p w:rsidR="00D6561B" w:rsidRDefault="00D6561B" w:rsidP="00562A67">
      <w:pPr>
        <w:spacing w:before="161"/>
        <w:ind w:left="4358" w:right="4368" w:hanging="1"/>
        <w:jc w:val="center"/>
        <w:rPr>
          <w:b/>
          <w:lang w:val="en-US"/>
        </w:rPr>
      </w:pPr>
      <w:r w:rsidRPr="00D6561B">
        <w:rPr>
          <w:b/>
          <w:lang w:val="en-US"/>
        </w:rPr>
        <w:t xml:space="preserve">Gupta </w:t>
      </w:r>
      <w:proofErr w:type="spellStart"/>
      <w:r w:rsidRPr="00D6561B">
        <w:rPr>
          <w:b/>
          <w:lang w:val="en-US"/>
        </w:rPr>
        <w:t>Vansh</w:t>
      </w:r>
      <w:proofErr w:type="spellEnd"/>
    </w:p>
    <w:p w:rsidR="00D6561B" w:rsidRDefault="00D6561B" w:rsidP="00D6561B">
      <w:pPr>
        <w:spacing w:before="161"/>
        <w:ind w:left="4358" w:right="4368" w:hanging="1"/>
        <w:jc w:val="center"/>
        <w:rPr>
          <w:b/>
          <w:lang w:val="en-US"/>
        </w:rPr>
      </w:pPr>
      <w:proofErr w:type="spellStart"/>
      <w:r w:rsidRPr="00D6561B">
        <w:rPr>
          <w:b/>
          <w:lang w:val="en-US"/>
        </w:rPr>
        <w:t>Гупта</w:t>
      </w:r>
      <w:proofErr w:type="spellEnd"/>
      <w:r w:rsidRPr="00D6561B">
        <w:rPr>
          <w:b/>
          <w:lang w:val="en-US"/>
        </w:rPr>
        <w:t xml:space="preserve"> </w:t>
      </w:r>
      <w:proofErr w:type="spellStart"/>
      <w:r w:rsidRPr="00D6561B">
        <w:rPr>
          <w:b/>
          <w:lang w:val="en-US"/>
        </w:rPr>
        <w:t>Ванш</w:t>
      </w:r>
      <w:proofErr w:type="spellEnd"/>
    </w:p>
    <w:p w:rsidR="00D6561B" w:rsidRDefault="00D6561B" w:rsidP="00D6561B">
      <w:pPr>
        <w:spacing w:before="161"/>
        <w:ind w:left="4358" w:right="4368" w:hanging="1"/>
        <w:jc w:val="center"/>
        <w:rPr>
          <w:b/>
          <w:lang w:val="en-US"/>
        </w:rPr>
      </w:pPr>
    </w:p>
    <w:p w:rsidR="00D6561B" w:rsidRPr="006B5D0D" w:rsidRDefault="00D6561B" w:rsidP="00D6561B">
      <w:pPr>
        <w:spacing w:before="161"/>
        <w:ind w:left="4358" w:right="4368" w:hanging="1"/>
        <w:jc w:val="center"/>
        <w:rPr>
          <w:b/>
          <w:lang w:val="en-US"/>
        </w:rPr>
      </w:pPr>
      <w:r w:rsidRPr="00D6561B">
        <w:rPr>
          <w:b/>
        </w:rPr>
        <w:t>Aiganysh Abzhaparova</w:t>
      </w:r>
    </w:p>
    <w:p w:rsidR="0000535E" w:rsidRDefault="00D6561B">
      <w:pPr>
        <w:spacing w:line="229" w:lineRule="exact"/>
        <w:ind w:left="4333"/>
        <w:rPr>
          <w:b/>
          <w:sz w:val="20"/>
        </w:rPr>
      </w:pPr>
      <w:r>
        <w:rPr>
          <w:b/>
          <w:sz w:val="20"/>
          <w:lang w:val="en-US"/>
        </w:rPr>
        <w:t xml:space="preserve">    </w:t>
      </w:r>
      <w:r w:rsidR="0004078F">
        <w:rPr>
          <w:b/>
          <w:sz w:val="20"/>
        </w:rPr>
        <w:t>Lecturer,</w:t>
      </w:r>
      <w:r w:rsidR="0004078F">
        <w:rPr>
          <w:b/>
          <w:spacing w:val="-4"/>
          <w:sz w:val="20"/>
        </w:rPr>
        <w:t xml:space="preserve"> </w:t>
      </w:r>
      <w:r w:rsidR="0004078F">
        <w:rPr>
          <w:b/>
          <w:sz w:val="20"/>
        </w:rPr>
        <w:t>Osh</w:t>
      </w:r>
      <w:r w:rsidR="0004078F">
        <w:rPr>
          <w:b/>
          <w:spacing w:val="-4"/>
          <w:sz w:val="20"/>
        </w:rPr>
        <w:t xml:space="preserve"> </w:t>
      </w:r>
      <w:r w:rsidR="0004078F">
        <w:rPr>
          <w:b/>
          <w:sz w:val="20"/>
        </w:rPr>
        <w:t>State</w:t>
      </w:r>
      <w:r w:rsidR="0004078F">
        <w:rPr>
          <w:b/>
          <w:spacing w:val="-4"/>
          <w:sz w:val="20"/>
        </w:rPr>
        <w:t xml:space="preserve"> </w:t>
      </w:r>
      <w:r w:rsidR="0004078F">
        <w:rPr>
          <w:b/>
          <w:spacing w:val="-2"/>
          <w:sz w:val="20"/>
        </w:rPr>
        <w:t>University</w:t>
      </w:r>
    </w:p>
    <w:p w:rsidR="0000535E" w:rsidRDefault="0004078F">
      <w:pPr>
        <w:ind w:left="3133" w:right="3139" w:firstLine="755"/>
        <w:rPr>
          <w:i/>
          <w:sz w:val="20"/>
        </w:rPr>
      </w:pPr>
      <w:r>
        <w:rPr>
          <w:i/>
          <w:sz w:val="20"/>
        </w:rPr>
        <w:t>окутуучу, Ош мамлекеттик университети преподаватель,</w:t>
      </w:r>
      <w:r>
        <w:rPr>
          <w:i/>
          <w:spacing w:val="-9"/>
          <w:sz w:val="20"/>
        </w:rPr>
        <w:t xml:space="preserve"> </w:t>
      </w:r>
      <w:r>
        <w:rPr>
          <w:i/>
          <w:sz w:val="20"/>
        </w:rPr>
        <w:t>Ошский</w:t>
      </w:r>
      <w:r>
        <w:rPr>
          <w:i/>
          <w:spacing w:val="-8"/>
          <w:sz w:val="20"/>
        </w:rPr>
        <w:t xml:space="preserve"> </w:t>
      </w:r>
      <w:r>
        <w:rPr>
          <w:i/>
          <w:sz w:val="20"/>
        </w:rPr>
        <w:t>государственный</w:t>
      </w:r>
      <w:r>
        <w:rPr>
          <w:i/>
          <w:spacing w:val="-9"/>
          <w:sz w:val="20"/>
        </w:rPr>
        <w:t xml:space="preserve"> </w:t>
      </w:r>
      <w:r>
        <w:rPr>
          <w:i/>
          <w:sz w:val="20"/>
        </w:rPr>
        <w:t>университет</w:t>
      </w:r>
    </w:p>
    <w:p w:rsidR="0000535E" w:rsidRDefault="002A3553">
      <w:pPr>
        <w:spacing w:line="230" w:lineRule="exact"/>
        <w:ind w:left="1115" w:right="1123"/>
        <w:jc w:val="center"/>
        <w:rPr>
          <w:sz w:val="20"/>
        </w:rPr>
      </w:pPr>
      <w:hyperlink r:id="rId8" w:history="1">
        <w:r w:rsidR="00C61C96" w:rsidRPr="004B5E1C">
          <w:rPr>
            <w:rStyle w:val="Hyperlink"/>
            <w:spacing w:val="-2"/>
            <w:sz w:val="20"/>
            <w:u w:color="0563C1"/>
            <w:lang w:val="en-US"/>
          </w:rPr>
          <w:t>aabjaparo</w:t>
        </w:r>
        <w:r w:rsidR="00C61C96" w:rsidRPr="004B5E1C">
          <w:rPr>
            <w:rStyle w:val="Hyperlink"/>
            <w:spacing w:val="-2"/>
            <w:sz w:val="20"/>
            <w:u w:color="0563C1"/>
          </w:rPr>
          <w:t>va@oshsu.kg</w:t>
        </w:r>
      </w:hyperlink>
    </w:p>
    <w:p w:rsidR="0000535E" w:rsidRDefault="0004078F">
      <w:pPr>
        <w:tabs>
          <w:tab w:val="left" w:pos="3549"/>
          <w:tab w:val="left" w:pos="9627"/>
        </w:tabs>
        <w:ind w:right="8"/>
        <w:jc w:val="center"/>
        <w:rPr>
          <w:sz w:val="20"/>
        </w:rPr>
      </w:pPr>
      <w:r>
        <w:rPr>
          <w:sz w:val="20"/>
          <w:u w:val="single"/>
        </w:rPr>
        <w:tab/>
      </w:r>
      <w:r>
        <w:rPr>
          <w:spacing w:val="-2"/>
          <w:sz w:val="20"/>
          <w:u w:val="single"/>
        </w:rPr>
        <w:t>ORCID:</w:t>
      </w:r>
      <w:r>
        <w:rPr>
          <w:spacing w:val="26"/>
          <w:sz w:val="20"/>
          <w:u w:val="single"/>
        </w:rPr>
        <w:t xml:space="preserve"> </w:t>
      </w:r>
      <w:r w:rsidR="001C6067" w:rsidRPr="001C6067">
        <w:rPr>
          <w:spacing w:val="-2"/>
          <w:sz w:val="20"/>
          <w:u w:val="single"/>
        </w:rPr>
        <w:t>https://orcid.org/0000-0002-7840-545X</w:t>
      </w:r>
      <w:r>
        <w:rPr>
          <w:sz w:val="20"/>
          <w:u w:val="single"/>
        </w:rPr>
        <w:tab/>
      </w:r>
    </w:p>
    <w:p w:rsidR="00D6561B" w:rsidRPr="00D6561B" w:rsidRDefault="00D6561B" w:rsidP="00D6561B">
      <w:pPr>
        <w:spacing w:before="71"/>
        <w:ind w:left="4284" w:right="4293" w:hanging="1"/>
        <w:jc w:val="center"/>
        <w:rPr>
          <w:b/>
          <w:sz w:val="18"/>
          <w:lang w:val="en-US"/>
        </w:rPr>
      </w:pPr>
      <w:r w:rsidRPr="00D6561B">
        <w:rPr>
          <w:b/>
          <w:sz w:val="18"/>
          <w:lang w:val="en-US"/>
        </w:rPr>
        <w:t>CHOUDARI PRAKASH ASHWATH</w:t>
      </w:r>
    </w:p>
    <w:p w:rsidR="00D6561B" w:rsidRPr="00D6561B" w:rsidRDefault="00D6561B" w:rsidP="00D6561B">
      <w:pPr>
        <w:spacing w:before="71"/>
        <w:ind w:left="4284" w:right="4293" w:hanging="1"/>
        <w:jc w:val="center"/>
        <w:rPr>
          <w:i/>
          <w:sz w:val="20"/>
          <w:lang w:val="en-US"/>
        </w:rPr>
      </w:pPr>
      <w:r w:rsidRPr="00D6561B">
        <w:rPr>
          <w:i/>
          <w:sz w:val="20"/>
        </w:rPr>
        <w:t>ШОУДАРИ ПРАКАШ АШВАТХ</w:t>
      </w:r>
    </w:p>
    <w:p w:rsidR="00D6561B" w:rsidRPr="00D6561B" w:rsidRDefault="00D6561B" w:rsidP="00D6561B">
      <w:pPr>
        <w:pStyle w:val="BodyText"/>
        <w:jc w:val="center"/>
        <w:rPr>
          <w:i/>
          <w:sz w:val="22"/>
          <w:lang w:val="en-US"/>
        </w:rPr>
      </w:pPr>
      <w:r w:rsidRPr="00D6561B">
        <w:rPr>
          <w:i/>
          <w:sz w:val="22"/>
        </w:rPr>
        <w:t>ШОУДАРИ ПРАКАШ АШВАТХ</w:t>
      </w:r>
    </w:p>
    <w:p w:rsidR="0000535E" w:rsidRDefault="0000535E">
      <w:pPr>
        <w:pStyle w:val="BodyText"/>
        <w:rPr>
          <w:i/>
          <w:sz w:val="22"/>
        </w:rPr>
      </w:pPr>
    </w:p>
    <w:p w:rsidR="0000535E" w:rsidRDefault="0004078F">
      <w:pPr>
        <w:spacing w:line="229" w:lineRule="exact"/>
        <w:ind w:left="1115" w:right="1123"/>
        <w:jc w:val="center"/>
        <w:rPr>
          <w:b/>
          <w:sz w:val="20"/>
        </w:rPr>
      </w:pPr>
      <w:r>
        <w:rPr>
          <w:b/>
          <w:sz w:val="20"/>
        </w:rPr>
        <w:t>Student,</w:t>
      </w:r>
      <w:r>
        <w:rPr>
          <w:b/>
          <w:spacing w:val="-3"/>
          <w:sz w:val="20"/>
        </w:rPr>
        <w:t xml:space="preserve"> </w:t>
      </w:r>
      <w:r>
        <w:rPr>
          <w:b/>
          <w:sz w:val="20"/>
        </w:rPr>
        <w:t>Osh</w:t>
      </w:r>
      <w:r>
        <w:rPr>
          <w:b/>
          <w:spacing w:val="-3"/>
          <w:sz w:val="20"/>
        </w:rPr>
        <w:t xml:space="preserve"> </w:t>
      </w:r>
      <w:r>
        <w:rPr>
          <w:b/>
          <w:sz w:val="20"/>
        </w:rPr>
        <w:t>State</w:t>
      </w:r>
      <w:r>
        <w:rPr>
          <w:b/>
          <w:spacing w:val="-2"/>
          <w:sz w:val="20"/>
        </w:rPr>
        <w:t xml:space="preserve"> University</w:t>
      </w:r>
    </w:p>
    <w:p w:rsidR="0000535E" w:rsidRDefault="0004078F">
      <w:pPr>
        <w:ind w:left="3817" w:right="3825" w:hanging="2"/>
        <w:jc w:val="center"/>
        <w:rPr>
          <w:sz w:val="20"/>
        </w:rPr>
      </w:pPr>
      <w:r>
        <w:rPr>
          <w:i/>
          <w:sz w:val="20"/>
        </w:rPr>
        <w:t>студент, Ош мамлекеттик университети студент,</w:t>
      </w:r>
      <w:r>
        <w:rPr>
          <w:i/>
          <w:spacing w:val="-13"/>
          <w:sz w:val="20"/>
        </w:rPr>
        <w:t xml:space="preserve"> </w:t>
      </w:r>
      <w:r>
        <w:rPr>
          <w:i/>
          <w:sz w:val="20"/>
        </w:rPr>
        <w:t>Ошский</w:t>
      </w:r>
      <w:r>
        <w:rPr>
          <w:i/>
          <w:spacing w:val="-12"/>
          <w:sz w:val="20"/>
        </w:rPr>
        <w:t xml:space="preserve"> </w:t>
      </w:r>
      <w:r>
        <w:rPr>
          <w:i/>
          <w:sz w:val="20"/>
        </w:rPr>
        <w:t>государственный</w:t>
      </w:r>
      <w:r>
        <w:rPr>
          <w:i/>
          <w:spacing w:val="-11"/>
          <w:sz w:val="20"/>
        </w:rPr>
        <w:t xml:space="preserve"> </w:t>
      </w:r>
      <w:r>
        <w:rPr>
          <w:i/>
          <w:sz w:val="20"/>
        </w:rPr>
        <w:t xml:space="preserve">университет </w:t>
      </w:r>
      <w:hyperlink r:id="rId9">
        <w:r w:rsidR="00D6561B">
          <w:rPr>
            <w:color w:val="0563C1"/>
            <w:spacing w:val="-2"/>
            <w:sz w:val="20"/>
            <w:u w:val="single" w:color="0563C1"/>
            <w:lang w:val="en-US"/>
          </w:rPr>
          <w:t>cashu9242</w:t>
        </w:r>
        <w:r>
          <w:rPr>
            <w:color w:val="0563C1"/>
            <w:spacing w:val="-2"/>
            <w:sz w:val="20"/>
            <w:u w:val="single" w:color="0563C1"/>
          </w:rPr>
          <w:t>@gmail.com</w:t>
        </w:r>
      </w:hyperlink>
    </w:p>
    <w:p w:rsidR="0000535E" w:rsidRDefault="0000535E">
      <w:pPr>
        <w:jc w:val="center"/>
        <w:rPr>
          <w:sz w:val="20"/>
        </w:rPr>
        <w:sectPr w:rsidR="0000535E">
          <w:headerReference w:type="even" r:id="rId10"/>
          <w:type w:val="continuous"/>
          <w:pgSz w:w="11910" w:h="16840"/>
          <w:pgMar w:top="1020" w:right="0" w:bottom="280" w:left="0" w:header="720" w:footer="720" w:gutter="0"/>
          <w:cols w:space="720"/>
        </w:sectPr>
      </w:pPr>
    </w:p>
    <w:p w:rsidR="009D7A54" w:rsidRDefault="009D7A54">
      <w:pPr>
        <w:spacing w:before="181"/>
        <w:ind w:left="1134"/>
        <w:rPr>
          <w:b/>
          <w:bCs/>
          <w:sz w:val="24"/>
          <w:szCs w:val="24"/>
          <w:lang w:val="en-US"/>
        </w:rPr>
      </w:pPr>
      <w:r w:rsidRPr="009D7A54">
        <w:rPr>
          <w:b/>
          <w:bCs/>
          <w:sz w:val="24"/>
          <w:szCs w:val="24"/>
        </w:rPr>
        <w:lastRenderedPageBreak/>
        <w:t>Epidemiology of</w:t>
      </w:r>
      <w:r>
        <w:rPr>
          <w:b/>
          <w:bCs/>
          <w:sz w:val="24"/>
          <w:szCs w:val="24"/>
          <w:lang w:val="en-US"/>
        </w:rPr>
        <w:t xml:space="preserve"> </w:t>
      </w:r>
      <w:r w:rsidRPr="009D7A54">
        <w:rPr>
          <w:b/>
          <w:bCs/>
          <w:sz w:val="24"/>
          <w:szCs w:val="24"/>
        </w:rPr>
        <w:t xml:space="preserve"> Measles in India over the last 10yrs</w:t>
      </w:r>
    </w:p>
    <w:p w:rsidR="0000535E" w:rsidRDefault="0004078F">
      <w:pPr>
        <w:spacing w:before="181"/>
        <w:ind w:left="1134"/>
        <w:rPr>
          <w:b/>
        </w:rPr>
      </w:pPr>
      <w:r>
        <w:rPr>
          <w:b/>
          <w:spacing w:val="-2"/>
        </w:rPr>
        <w:t>Abstract</w:t>
      </w:r>
    </w:p>
    <w:p w:rsidR="00AF68D6" w:rsidRDefault="00AF68D6" w:rsidP="00774A01">
      <w:pPr>
        <w:spacing w:before="120" w:line="276" w:lineRule="auto"/>
        <w:ind w:left="1134" w:right="1134" w:firstLine="567"/>
        <w:rPr>
          <w:lang w:val="en-US"/>
        </w:rPr>
      </w:pPr>
      <w:r w:rsidRPr="00AF68D6">
        <w:t>This report undertakes the first ever comprehensive epidemiological analysis of measles in India over the past ten years (2015-2025), which has witnessed remarkable public health gains, endemic challenges and the recent spike. Despite colossal mass immunization efforts that reduced measles incidence substantially, India has repeatedly missed the mark on the required 95% two-dose vaccination coverage to achieve elimination and has maintained an endemic immunity gap. A critical and contradictory pattern has developed: the overall case counts decreased but the case fatality rate (CFR) among reported cases increased ominously and especially following the COVID-19 pandemic. Routine immunization services markedly collapsed due to the pandemic and generated an immense cohort of susceptible children leading to massive outbreaks during 2022. Examination of national data demonstrates that susceptibility to measles is not accidental but is systemically structured along socio-demographic lines including wealth and maternal schooling and also along religious and geographic lines and results in an inequity landscape where the most marginalized children are at greatest risk. This report integrates evidence on epidemiological pattern analysis, vaccination policy, post-pandemic surge and socio-demographic and system-level determinants of failure to make progress. This report determines that the measles disease in the modern India is essentially an inequity disease and to reach the national goal of elimination requires an intensified multi-level strategy aimed at reinforcing routine immunization delivery and resolving the causes of under-vaccination through an equity perspective and strengthening and bolstering the capacity to do surveillance and clinical management.</w:t>
      </w:r>
    </w:p>
    <w:p w:rsidR="00774A01" w:rsidRPr="00774A01" w:rsidRDefault="00774A01" w:rsidP="00774A01">
      <w:pPr>
        <w:spacing w:before="120" w:line="276" w:lineRule="auto"/>
        <w:ind w:left="1134" w:right="1134" w:firstLine="567"/>
        <w:rPr>
          <w:lang w:val="en-US"/>
        </w:rPr>
      </w:pPr>
      <w:r w:rsidRPr="00774A01">
        <w:rPr>
          <w:b/>
          <w:i/>
        </w:rPr>
        <w:t xml:space="preserve">Keywords: </w:t>
      </w:r>
      <w:r w:rsidRPr="00774A01">
        <w:t>Measles, Epidemiology, India, Vaccination, Immunization, Elimination, Outbreak, Case Fatality Rate, COVID-19, Health Inequity</w:t>
      </w:r>
      <w:r>
        <w:rPr>
          <w:lang w:val="en-US"/>
        </w:rPr>
        <w:t>.</w:t>
      </w:r>
    </w:p>
    <w:tbl>
      <w:tblPr>
        <w:tblpPr w:leftFromText="180" w:rightFromText="180" w:vertAnchor="text" w:horzAnchor="margin" w:tblpXSpec="center" w:tblpY="186"/>
        <w:tblW w:w="0" w:type="auto"/>
        <w:tblLayout w:type="fixed"/>
        <w:tblCellMar>
          <w:left w:w="0" w:type="dxa"/>
          <w:right w:w="0" w:type="dxa"/>
        </w:tblCellMar>
        <w:tblLook w:val="01E0"/>
      </w:tblPr>
      <w:tblGrid>
        <w:gridCol w:w="4871"/>
        <w:gridCol w:w="4876"/>
      </w:tblGrid>
      <w:tr w:rsidR="007F5212" w:rsidTr="007F5212">
        <w:trPr>
          <w:trHeight w:val="417"/>
        </w:trPr>
        <w:tc>
          <w:tcPr>
            <w:tcW w:w="4871" w:type="dxa"/>
            <w:tcBorders>
              <w:top w:val="single" w:sz="4" w:space="0" w:color="000000"/>
            </w:tcBorders>
          </w:tcPr>
          <w:p w:rsidR="005966C6" w:rsidRPr="005966C6" w:rsidRDefault="005966C6" w:rsidP="005966C6">
            <w:pPr>
              <w:pStyle w:val="TableParagraph"/>
              <w:spacing w:before="59"/>
              <w:ind w:left="286" w:right="284" w:hanging="2"/>
              <w:jc w:val="center"/>
              <w:rPr>
                <w:b/>
                <w:i/>
                <w:sz w:val="20"/>
                <w:lang w:val="en-US"/>
              </w:rPr>
            </w:pPr>
            <w:r w:rsidRPr="005966C6">
              <w:rPr>
                <w:b/>
                <w:i/>
                <w:sz w:val="20"/>
                <w:lang w:val="ky-KG"/>
              </w:rPr>
              <w:t>Акыркы 10 жыл ичинде Индияда кызамык эпидемиологиясы</w:t>
            </w:r>
          </w:p>
          <w:p w:rsidR="007F5212" w:rsidRDefault="007F5212" w:rsidP="007F5212">
            <w:pPr>
              <w:pStyle w:val="TableParagraph"/>
              <w:spacing w:before="59"/>
              <w:ind w:left="286" w:right="284" w:hanging="2"/>
              <w:jc w:val="center"/>
              <w:rPr>
                <w:b/>
                <w:i/>
                <w:sz w:val="20"/>
              </w:rPr>
            </w:pPr>
          </w:p>
        </w:tc>
        <w:tc>
          <w:tcPr>
            <w:tcW w:w="4876" w:type="dxa"/>
            <w:tcBorders>
              <w:top w:val="single" w:sz="4" w:space="0" w:color="000000"/>
            </w:tcBorders>
          </w:tcPr>
          <w:p w:rsidR="005966C6" w:rsidRPr="005966C6" w:rsidRDefault="005966C6" w:rsidP="005966C6">
            <w:pPr>
              <w:pStyle w:val="TableParagraph"/>
              <w:spacing w:before="59"/>
              <w:ind w:left="138" w:right="30" w:firstLine="1"/>
              <w:jc w:val="center"/>
              <w:rPr>
                <w:b/>
                <w:i/>
                <w:sz w:val="20"/>
                <w:lang w:val="en-US"/>
              </w:rPr>
            </w:pPr>
            <w:r w:rsidRPr="005966C6">
              <w:rPr>
                <w:b/>
                <w:i/>
                <w:sz w:val="20"/>
              </w:rPr>
              <w:t>Эпидемиология кори в Индии за последние 10 лет</w:t>
            </w:r>
          </w:p>
          <w:p w:rsidR="007F5212" w:rsidRDefault="007F5212" w:rsidP="007F5212">
            <w:pPr>
              <w:pStyle w:val="TableParagraph"/>
              <w:spacing w:before="59"/>
              <w:ind w:left="138" w:right="30" w:firstLine="1"/>
              <w:jc w:val="center"/>
              <w:rPr>
                <w:b/>
                <w:i/>
                <w:sz w:val="20"/>
              </w:rPr>
            </w:pPr>
          </w:p>
        </w:tc>
      </w:tr>
      <w:tr w:rsidR="007F5212" w:rsidTr="007F5212">
        <w:trPr>
          <w:trHeight w:val="2661"/>
        </w:trPr>
        <w:tc>
          <w:tcPr>
            <w:tcW w:w="4871" w:type="dxa"/>
          </w:tcPr>
          <w:p w:rsidR="007F5212" w:rsidRDefault="007F5212" w:rsidP="007F5212">
            <w:pPr>
              <w:pStyle w:val="TableParagraph"/>
              <w:spacing w:before="111" w:line="228" w:lineRule="exact"/>
              <w:rPr>
                <w:b/>
                <w:sz w:val="20"/>
              </w:rPr>
            </w:pPr>
            <w:r>
              <w:rPr>
                <w:b/>
                <w:spacing w:val="-2"/>
                <w:sz w:val="20"/>
              </w:rPr>
              <w:t>Аннотация</w:t>
            </w:r>
          </w:p>
          <w:p w:rsidR="007F5212" w:rsidRDefault="00774A01" w:rsidP="007F5212">
            <w:pPr>
              <w:pStyle w:val="TableParagraph"/>
              <w:ind w:right="104"/>
              <w:jc w:val="both"/>
              <w:rPr>
                <w:sz w:val="20"/>
                <w:lang w:val="en-US"/>
              </w:rPr>
            </w:pPr>
            <w:r w:rsidRPr="00774A01">
              <w:rPr>
                <w:sz w:val="20"/>
              </w:rPr>
              <w:t>Бул баяндамада Индияда өткөн он жылдыкта (2015–2025) табылган кызамык оорусунун бардык аспектилерин камтыган эпидемиологиялык талдоо берилген, ал коомдук саламаттык сактоо жаатындагы олуттуу жетишкендиктерди, чечилбей жаткан көйгөлөрдү жана жакындагы оорунун өсүшүн мүнөздөйт. Кызамыкка каршы массалык эмдөө кампаниялары оорунун деңгээлин азайтканына карабастан, Индия 95% эки дозалуу вакцина менен камтылышты камсыздоо максатына жетпей келет, бул иммунитеттин жетишсиздигине себепчет. Туура эмес жана парадоксалдуу тенденция байкалат: оору учурларынын жалпы саны азайганына карабай, катталган учурларда өлүмдөрдүн саны тынчсызданткандай көбөйгөн, айрыкча COVID-19 пандемиясынан кийин. Пандемия пландалган эмдөө иштерин олуттуу бузуп, көптөгөн коркунучтуу балдарды пайда кылып, 2022-жылы оорунун ири очокторунун чыгышына себеп болду.</w:t>
            </w:r>
            <w:r w:rsidRPr="00774A01">
              <w:rPr>
                <w:rFonts w:ascii="Arial" w:hAnsi="Arial" w:cs="Arial"/>
                <w:color w:val="111111"/>
                <w:sz w:val="23"/>
                <w:szCs w:val="23"/>
                <w:shd w:val="clear" w:color="auto" w:fill="F7F7F7"/>
              </w:rPr>
              <w:t xml:space="preserve"> </w:t>
            </w:r>
            <w:r w:rsidRPr="00774A01">
              <w:rPr>
                <w:sz w:val="20"/>
              </w:rPr>
              <w:t xml:space="preserve">Пандемия пландалган эмдөөнү олутту disruption кылды, көптөгөн коркунучтуу балдарды пайда кылып, 2022-жылы оорунун чоң күчөп кетишине себеп болду. Улуттук маалыматтарды талдоо коргоочулук коркунучу кокус эмес, социалдык-демографиялык факторлор тарабынан системалуу түрдө аныкталганын көрсөтүп турат, анын ичинде бирдиктүүлүк деңгээли, эненин билим деңгээли, диний ишенимдер жана географиялык жайгашуу, бул теңсиздик шарттарын жаратууда, ал жерде эң коркунучтуу болгон балдар болуп эсептелет. Бул баяндамада эпидемиологиялык тенденциялар, вакцинация стратегиялары, пандемиядан кийинки </w:t>
            </w:r>
            <w:r w:rsidRPr="00774A01">
              <w:rPr>
                <w:sz w:val="20"/>
              </w:rPr>
              <w:lastRenderedPageBreak/>
              <w:t>оору менен күрөшүү жана социалдык-демографиялык жана системалык тоскоолдуктар боюнча маалымат жыйынтыкталган.</w:t>
            </w:r>
            <w:r>
              <w:rPr>
                <w:sz w:val="20"/>
                <w:lang w:val="en-US"/>
              </w:rPr>
              <w:t>.</w:t>
            </w:r>
          </w:p>
          <w:p w:rsidR="00774A01" w:rsidRDefault="00774A01" w:rsidP="007F5212">
            <w:pPr>
              <w:pStyle w:val="TableParagraph"/>
              <w:ind w:right="104"/>
              <w:jc w:val="both"/>
              <w:rPr>
                <w:sz w:val="20"/>
                <w:lang w:val="en-US"/>
              </w:rPr>
            </w:pPr>
          </w:p>
          <w:p w:rsidR="00774A01" w:rsidRPr="00774A01" w:rsidRDefault="00774A01" w:rsidP="007F5212">
            <w:pPr>
              <w:pStyle w:val="TableParagraph"/>
              <w:ind w:right="104"/>
              <w:jc w:val="both"/>
              <w:rPr>
                <w:sz w:val="20"/>
                <w:lang w:val="en-US"/>
              </w:rPr>
            </w:pPr>
            <w:r w:rsidRPr="00774A01">
              <w:rPr>
                <w:sz w:val="20"/>
              </w:rPr>
              <w:t>Макалада заманбап Индияда кызамык негизинен теңсиздик оорусу экенине тыянак чыгарылган жана аны жоюу боюнча улуттук максатка жетүү үчүн пландын негизинде эмдөөнү күчөтүүгө, жетишсиз эмдөөнүн мурдагы себептерин адилеттүүлүк принцибин эске алуу менен жоюуга жана көзөмөлдөөнү да, клиникалык башкарууну да күчөтүүчү жаңы көп деңгээлдүү стратегия керектиги белгиленген.</w:t>
            </w:r>
          </w:p>
        </w:tc>
        <w:tc>
          <w:tcPr>
            <w:tcW w:w="4876" w:type="dxa"/>
          </w:tcPr>
          <w:p w:rsidR="007F5212" w:rsidRDefault="007F5212" w:rsidP="007F5212">
            <w:pPr>
              <w:pStyle w:val="TableParagraph"/>
              <w:spacing w:before="111" w:line="228" w:lineRule="exact"/>
              <w:rPr>
                <w:b/>
                <w:sz w:val="20"/>
              </w:rPr>
            </w:pPr>
            <w:r>
              <w:rPr>
                <w:b/>
                <w:spacing w:val="-2"/>
                <w:sz w:val="20"/>
              </w:rPr>
              <w:lastRenderedPageBreak/>
              <w:t>Аннотация</w:t>
            </w:r>
          </w:p>
          <w:p w:rsidR="007F5212" w:rsidRPr="007F5212" w:rsidRDefault="007F5212" w:rsidP="007F5212">
            <w:pPr>
              <w:pStyle w:val="TableParagraph"/>
              <w:ind w:right="-15"/>
              <w:jc w:val="both"/>
              <w:rPr>
                <w:lang w:val="en-US"/>
              </w:rPr>
            </w:pPr>
            <w:r w:rsidRPr="007F5212">
              <w:rPr>
                <w:sz w:val="20"/>
              </w:rPr>
              <w:t>В настоящем докладе представлен всесторонний эпидемиологический анализ кори в Индии за последнее десятилетие (2015–2025 гг.), характеризующееся значительными достижениями в области общественного здравоохранения, сохраняющимися проблемами и недавним всплеском заболеваемости. Несмотря на масштабные кампании массовой иммунизации, приведшие к значительному снижению заболеваемости корью, Индия постоянно не достигает 95% охвата двухдозовой вакцинацией, необходимого для элиминации заболевания, что приводит к стойкому дефициту иммунитета. Наметилась критическая и парадоксальная тенденция: несмотря на снижение общего числа случаев заболевания, летальность среди зарегистрированных случаев тревожно возросла, особенно после пандемии COVID-19.</w:t>
            </w:r>
            <w:r w:rsidRPr="007F5212">
              <w:rPr>
                <w:rFonts w:ascii="inherit" w:hAnsi="inherit" w:cs="Courier New"/>
                <w:color w:val="1F1F1F"/>
                <w:sz w:val="35"/>
              </w:rPr>
              <w:t xml:space="preserve"> </w:t>
            </w:r>
            <w:r w:rsidRPr="007F5212">
              <w:t xml:space="preserve">Пандемия серьёзно нарушила плановую иммунизацию, создав большую группу уязвимых детей и спровоцировав крупные вспышки заболевания в 2022 году. Анализ национальных данных показывает, что уязвимость к кори не случайна, а систематически обусловлена ​​социально-демографическими факторами, включая уровень благосостояния, образование матерей, религиозные убеждения и географическое положение, что создаёт условия для неравенства, при которых наиболее уязвимыми являются дети. В настоящем докладе обобщены данные об эпидемиологических тенденциях, стратегиях вакцинации, постпандемическом возрождении </w:t>
            </w:r>
            <w:r w:rsidRPr="007F5212">
              <w:lastRenderedPageBreak/>
              <w:t>заболевания, а также о социально-демографических и системных барьерах, препятствующих прогрессу.</w:t>
            </w:r>
          </w:p>
          <w:p w:rsidR="007F5212" w:rsidRPr="007F5212" w:rsidRDefault="007F5212" w:rsidP="007F5212">
            <w:pPr>
              <w:pStyle w:val="TableParagraph"/>
              <w:ind w:right="-15"/>
              <w:jc w:val="both"/>
              <w:rPr>
                <w:sz w:val="20"/>
                <w:lang w:val="en-US"/>
              </w:rPr>
            </w:pPr>
            <w:r w:rsidRPr="007F5212">
              <w:rPr>
                <w:sz w:val="20"/>
              </w:rPr>
              <w:t>В статье сделан вывод о том, что корь в современной Индии по сути является болезнью неравенства, и что для достижения национальной цели по её ликвидации требуется обновлённая многоуровневая стратегия, направленная на укрепление плановой иммунизации, устранение коренных причин недостаточной вакцинации с учётом принципа справедливости и усиление потенциала как надзора, так и клинического ведения.</w:t>
            </w:r>
          </w:p>
          <w:p w:rsidR="007F5212" w:rsidRPr="007F5212" w:rsidRDefault="007F5212" w:rsidP="007F5212">
            <w:pPr>
              <w:pStyle w:val="TableParagraph"/>
              <w:ind w:right="-15"/>
              <w:jc w:val="both"/>
              <w:rPr>
                <w:sz w:val="20"/>
                <w:lang w:val="en-US"/>
              </w:rPr>
            </w:pPr>
          </w:p>
          <w:p w:rsidR="007F5212" w:rsidRPr="007F5212" w:rsidRDefault="007F5212" w:rsidP="007F5212">
            <w:pPr>
              <w:pStyle w:val="TableParagraph"/>
              <w:ind w:left="0" w:right="-15"/>
              <w:jc w:val="both"/>
              <w:rPr>
                <w:sz w:val="20"/>
                <w:lang w:val="en-US"/>
              </w:rPr>
            </w:pPr>
          </w:p>
        </w:tc>
      </w:tr>
      <w:tr w:rsidR="007F5212" w:rsidTr="007F5212">
        <w:trPr>
          <w:trHeight w:val="617"/>
        </w:trPr>
        <w:tc>
          <w:tcPr>
            <w:tcW w:w="4871" w:type="dxa"/>
          </w:tcPr>
          <w:p w:rsidR="007F5212" w:rsidRPr="007F5212" w:rsidRDefault="007F5212" w:rsidP="007F5212">
            <w:pPr>
              <w:pStyle w:val="TableParagraph"/>
              <w:spacing w:before="134"/>
              <w:ind w:left="0"/>
              <w:rPr>
                <w:sz w:val="20"/>
                <w:lang w:val="en-US"/>
              </w:rPr>
            </w:pPr>
          </w:p>
          <w:p w:rsidR="007F5212" w:rsidRDefault="00774A01" w:rsidP="007F5212">
            <w:pPr>
              <w:pStyle w:val="TableParagraph"/>
              <w:spacing w:before="1"/>
              <w:rPr>
                <w:sz w:val="20"/>
              </w:rPr>
            </w:pPr>
            <w:r w:rsidRPr="00774A01">
              <w:rPr>
                <w:sz w:val="20"/>
              </w:rPr>
              <w:t>Ачкыч сөздөр: Кызамык, Эпидемиология, Индия, Вакцинация, Иммундоштуруу, Жок кылуу, Чындыктын жайылышы, Оорулардын өлүм деңгээли, COVID-19, Саламаттыкты сактоодо адилетсиздик.</w:t>
            </w:r>
          </w:p>
        </w:tc>
        <w:tc>
          <w:tcPr>
            <w:tcW w:w="4876" w:type="dxa"/>
          </w:tcPr>
          <w:p w:rsidR="007F5212" w:rsidRPr="00774A01" w:rsidRDefault="007F5212" w:rsidP="007F5212">
            <w:pPr>
              <w:pStyle w:val="TableParagraph"/>
              <w:spacing w:before="134"/>
              <w:ind w:left="0"/>
              <w:rPr>
                <w:sz w:val="20"/>
                <w:lang w:val="en-US"/>
              </w:rPr>
            </w:pPr>
          </w:p>
          <w:p w:rsidR="007F5212" w:rsidRPr="00774A01" w:rsidRDefault="00774A01" w:rsidP="007F5212">
            <w:pPr>
              <w:pStyle w:val="TableParagraph"/>
              <w:spacing w:line="210" w:lineRule="exact"/>
              <w:rPr>
                <w:sz w:val="20"/>
              </w:rPr>
            </w:pPr>
            <w:r w:rsidRPr="00774A01">
              <w:rPr>
                <w:i/>
                <w:sz w:val="20"/>
              </w:rPr>
              <w:t>Ключевые слова: Корь, Эпидемиология, Индия, Вакцинация, Иммунизация, Ликвидация, Вспышка, Летальность, COVID-19, Неравенство в здравоохранении.</w:t>
            </w:r>
          </w:p>
        </w:tc>
      </w:tr>
    </w:tbl>
    <w:p w:rsidR="00044E22" w:rsidRPr="005340F0" w:rsidRDefault="00044E22" w:rsidP="005340F0">
      <w:pPr>
        <w:pStyle w:val="Heading1"/>
        <w:rPr>
          <w:lang w:val="en-US"/>
        </w:rPr>
      </w:pPr>
      <w:r w:rsidRPr="005340F0">
        <w:rPr>
          <w:lang w:val="en-US"/>
        </w:rPr>
        <w:t>Introduction</w:t>
      </w:r>
    </w:p>
    <w:p w:rsidR="00AF68D6" w:rsidRPr="00AF68D6" w:rsidRDefault="00AF68D6" w:rsidP="00AF68D6">
      <w:pPr>
        <w:pStyle w:val="BodyText"/>
        <w:spacing w:before="120" w:line="276" w:lineRule="auto"/>
        <w:ind w:left="1133" w:right="1131" w:firstLine="567"/>
        <w:jc w:val="both"/>
        <w:rPr>
          <w:bCs/>
          <w:lang w:val="en-US"/>
        </w:rPr>
      </w:pPr>
      <w:r w:rsidRPr="00AF68D6">
        <w:rPr>
          <w:bCs/>
          <w:lang w:val="en-US"/>
        </w:rPr>
        <w:t xml:space="preserve">Measles is a viral disease caused by a member of the genus </w:t>
      </w:r>
      <w:proofErr w:type="spellStart"/>
      <w:r w:rsidRPr="00AF68D6">
        <w:rPr>
          <w:bCs/>
          <w:lang w:val="en-US"/>
        </w:rPr>
        <w:t>Morbillivirus</w:t>
      </w:r>
      <w:proofErr w:type="spellEnd"/>
      <w:r w:rsidRPr="00AF68D6">
        <w:rPr>
          <w:bCs/>
          <w:lang w:val="en-US"/>
        </w:rPr>
        <w:t xml:space="preserve"> and is still an intimidating public health problem worldwide. With its highly contagious nature, the basic reproduction number is calculated to be between 12 and 18. Measles is one of the most contagious infectious diseases mankind has ever known. Prior to the introduction of mass vaccination, the disease was almost a universal childhood experience and caused an estimated 2.6 million deaths each year.1 Vaccination brought about the safe and effective vaccine and prevented an estimated 56 million deaths worldwide between the year 2001 and 2021.3 Despite this colossal achievement, measles still results in appreciable morbidity and mortality and is especially pronounced among the developing countries where coverage of the vaccine is suboptimal.2</w:t>
      </w:r>
    </w:p>
    <w:p w:rsidR="00AF68D6" w:rsidRPr="00AF68D6" w:rsidRDefault="00AF68D6" w:rsidP="00AF68D6">
      <w:pPr>
        <w:pStyle w:val="BodyText"/>
        <w:spacing w:before="120" w:line="276" w:lineRule="auto"/>
        <w:ind w:left="1133" w:right="1131" w:firstLine="567"/>
        <w:jc w:val="both"/>
        <w:rPr>
          <w:bCs/>
          <w:lang w:val="en-US"/>
        </w:rPr>
      </w:pPr>
      <w:r w:rsidRPr="00AF68D6">
        <w:rPr>
          <w:bCs/>
          <w:lang w:val="en-US"/>
        </w:rPr>
        <w:t>Against this backdrop, India is uniquely pivotal. With an average annual birth cohort size of around 27 million children, India's immunization program is among the world's largest.5 Accordingly, the country's achievements and setbacks in measles control equally and intensely affect worldwide epidemiological patterns and the potential effectiveness of universal elimination targets.6 India's burden has always been immense on a worldwide scale; between the years approaching 2015, the country's proportionate attribution to measles-associated child deaths was estimated to be more than 36%.6</w:t>
      </w:r>
    </w:p>
    <w:p w:rsidR="00AF68D6" w:rsidRPr="00AF68D6" w:rsidRDefault="00AF68D6" w:rsidP="00AF68D6">
      <w:pPr>
        <w:pStyle w:val="BodyText"/>
        <w:spacing w:before="120" w:line="276" w:lineRule="auto"/>
        <w:ind w:left="1133" w:right="1131" w:firstLine="567"/>
        <w:jc w:val="both"/>
        <w:rPr>
          <w:bCs/>
          <w:lang w:val="en-US"/>
        </w:rPr>
      </w:pPr>
      <w:r w:rsidRPr="00AF68D6">
        <w:rPr>
          <w:bCs/>
          <w:lang w:val="en-US"/>
        </w:rPr>
        <w:t xml:space="preserve">The past decade, spanning roughly from 2015 to 2025, has been a period of intense activity and paradoxical outcomes in India's fight against measles. It has been a story of remarkable public health achievement, driven by some of the largest mass immunization campaigns in history, which have led to a significant decline in disease incidence. Yet, this progress has been tempered by persistent challenges, deep-seated inequities, and, most recently, an alarming resurgence of the disease in the wake of the COVID-19 pandemic. This complex reality is reflected in the nation's ambitious goal, adopted alongside other countries in the World Health Organization (WHO) South-East Asia Region, to achieve measles and rubella elimination—a target initially set for 2020 and subsequently revised to 2023.5 </w:t>
      </w:r>
      <w:proofErr w:type="gramStart"/>
      <w:r w:rsidRPr="00AF68D6">
        <w:rPr>
          <w:bCs/>
          <w:lang w:val="en-US"/>
        </w:rPr>
        <w:t>The</w:t>
      </w:r>
      <w:proofErr w:type="gramEnd"/>
      <w:r w:rsidRPr="00AF68D6">
        <w:rPr>
          <w:bCs/>
          <w:lang w:val="en-US"/>
        </w:rPr>
        <w:t xml:space="preserve"> fact that this goal remains elusive underscores the formidable nature of the challenge.</w:t>
      </w:r>
    </w:p>
    <w:p w:rsidR="00044E22" w:rsidRDefault="00AF68D6" w:rsidP="00AF68D6">
      <w:pPr>
        <w:pStyle w:val="BodyText"/>
        <w:spacing w:before="120" w:line="276" w:lineRule="auto"/>
        <w:ind w:left="1133" w:right="1131" w:firstLine="567"/>
        <w:jc w:val="both"/>
        <w:rPr>
          <w:bCs/>
          <w:lang w:val="en-US"/>
        </w:rPr>
      </w:pPr>
      <w:r w:rsidRPr="00AF68D6">
        <w:rPr>
          <w:bCs/>
          <w:lang w:val="en-US"/>
        </w:rPr>
        <w:t xml:space="preserve">This report conducts an overarching epidemiological analysis of measles in India over the last ten years. By synthesizing evidence from the broader public health literature, it examines the key disease incidence and mortality patterns, deconstructs the national strategies and coverage deficits that remain, and identifies the reasons behind the post-pandemic return. Furthermore, it deliberates on the interlinked socio-demographic and systematic impediments that still stand in the way of elimination. The review concludes with an evidence-informed set of recommendations crafted to </w:t>
      </w:r>
      <w:r w:rsidRPr="00AF68D6">
        <w:rPr>
          <w:bCs/>
          <w:lang w:val="en-US"/>
        </w:rPr>
        <w:lastRenderedPageBreak/>
        <w:t>clarify policy-making, to inform the direction of public action on the grounds to be taken to make measles the disease of the past once more in India.</w:t>
      </w:r>
    </w:p>
    <w:p w:rsidR="00AF68D6" w:rsidRPr="00044E22" w:rsidRDefault="00AF68D6" w:rsidP="00AF68D6">
      <w:pPr>
        <w:pStyle w:val="BodyText"/>
        <w:spacing w:before="120" w:line="276" w:lineRule="auto"/>
        <w:ind w:left="1133" w:right="1131" w:firstLine="567"/>
        <w:jc w:val="both"/>
        <w:rPr>
          <w:bCs/>
          <w:lang w:val="en-US"/>
        </w:rPr>
      </w:pPr>
    </w:p>
    <w:p w:rsidR="00044E22" w:rsidRPr="005340F0" w:rsidRDefault="00044E22" w:rsidP="00044E22">
      <w:pPr>
        <w:pStyle w:val="Heading1"/>
        <w:ind w:left="1133"/>
        <w:rPr>
          <w:color w:val="000000" w:themeColor="text1"/>
          <w:lang w:val="en-US"/>
        </w:rPr>
      </w:pPr>
      <w:r w:rsidRPr="005340F0">
        <w:rPr>
          <w:color w:val="000000" w:themeColor="text1"/>
          <w:lang w:val="en-US"/>
        </w:rPr>
        <w:t>The Epidemiological Landscape: A Tale of Two Trends</w:t>
      </w:r>
    </w:p>
    <w:p w:rsidR="00044E22" w:rsidRPr="005340F0" w:rsidRDefault="00044E22" w:rsidP="00044E22">
      <w:pPr>
        <w:pStyle w:val="Heading1"/>
        <w:ind w:left="1133"/>
        <w:rPr>
          <w:b w:val="0"/>
          <w:color w:val="000000" w:themeColor="text1"/>
          <w:lang w:val="en-US"/>
        </w:rPr>
      </w:pPr>
    </w:p>
    <w:p w:rsidR="00AF68D6" w:rsidRPr="00AF68D6" w:rsidRDefault="00AF68D6" w:rsidP="00AF68D6">
      <w:pPr>
        <w:pStyle w:val="BodyText"/>
        <w:ind w:left="1134" w:right="1134"/>
        <w:jc w:val="both"/>
        <w:rPr>
          <w:lang w:val="en-US"/>
        </w:rPr>
      </w:pPr>
      <w:r w:rsidRPr="00AF68D6">
        <w:rPr>
          <w:lang w:val="en-US"/>
        </w:rPr>
        <w:t xml:space="preserve">The epidemiological story told by measles in India during the last ten years is not one of uncomplicated decline. Rather, it is an intricate narrative characterized by two contradictory and apparently antagonistic tendencies: an impressive and prolonged decline in disease incidence set side by side with </w:t>
      </w:r>
      <w:proofErr w:type="gramStart"/>
      <w:r w:rsidRPr="00AF68D6">
        <w:rPr>
          <w:lang w:val="en-US"/>
        </w:rPr>
        <w:t>an</w:t>
      </w:r>
      <w:proofErr w:type="gramEnd"/>
      <w:r w:rsidRPr="00AF68D6">
        <w:rPr>
          <w:lang w:val="en-US"/>
        </w:rPr>
        <w:t xml:space="preserve"> troubling and simultaneous increase in the case fatality rate (CFR) among reported instances. Comprehension of the puzzle is the key to an accurate assessment of the state of measles control within the nation.</w:t>
      </w:r>
    </w:p>
    <w:p w:rsidR="00AF68D6" w:rsidRPr="00AF68D6" w:rsidRDefault="00AF68D6" w:rsidP="00AF68D6">
      <w:pPr>
        <w:pStyle w:val="BodyText"/>
        <w:ind w:left="1134" w:right="1134"/>
        <w:jc w:val="both"/>
        <w:rPr>
          <w:lang w:val="en-US"/>
        </w:rPr>
      </w:pPr>
    </w:p>
    <w:p w:rsidR="00AF68D6" w:rsidRPr="00AF68D6" w:rsidRDefault="00AF68D6" w:rsidP="00AF68D6">
      <w:pPr>
        <w:pStyle w:val="BodyText"/>
        <w:ind w:left="1134" w:right="1134"/>
        <w:jc w:val="both"/>
        <w:rPr>
          <w:lang w:val="en-US"/>
        </w:rPr>
      </w:pPr>
      <w:r w:rsidRPr="00AF68D6">
        <w:rPr>
          <w:lang w:val="en-US"/>
        </w:rPr>
        <w:t>A Decade of Shifting Incidence</w:t>
      </w:r>
    </w:p>
    <w:p w:rsidR="00AF68D6" w:rsidRPr="00AF68D6" w:rsidRDefault="00AF68D6" w:rsidP="00AF68D6">
      <w:pPr>
        <w:pStyle w:val="BodyText"/>
        <w:ind w:left="1134" w:right="1134"/>
        <w:jc w:val="both"/>
        <w:rPr>
          <w:lang w:val="en-US"/>
        </w:rPr>
      </w:pPr>
    </w:p>
    <w:p w:rsidR="00AF68D6" w:rsidRPr="00AF68D6" w:rsidRDefault="00AF68D6" w:rsidP="00AF68D6">
      <w:pPr>
        <w:pStyle w:val="BodyText"/>
        <w:ind w:left="1134" w:right="1134"/>
        <w:jc w:val="both"/>
        <w:rPr>
          <w:lang w:val="en-US"/>
        </w:rPr>
      </w:pPr>
      <w:r w:rsidRPr="00AF68D6">
        <w:rPr>
          <w:lang w:val="en-US"/>
        </w:rPr>
        <w:t>On the surface, India has made commendable strides in reducing the overall burden of measles. A decadal analysis of data from 2011 to 2020 reveals a clear and significant downward trend in the number of reported cases. The incidence rate among children under five peaked in 2013 at 628.8 cases per million, after which it began a steep and consistent decline, falling tenfold to just 52.0 cases per million by 2020.9 This progress continued in subsequent years; between 2017 and 2021, the national annual measles incidence rate for the entire population fell by a further 62%, from 10.4 to 4.0 cases per million.5 This reduction is strongly and significantly correlated with the steady increase in measles vaccination coverage over the same period, demonstrating the direct impact of immunization efforts on curbing transmission.9</w:t>
      </w:r>
    </w:p>
    <w:p w:rsidR="00AF68D6" w:rsidRPr="00AF68D6" w:rsidRDefault="00AF68D6" w:rsidP="00AF68D6">
      <w:pPr>
        <w:pStyle w:val="BodyText"/>
        <w:ind w:left="1134" w:right="1134"/>
        <w:jc w:val="both"/>
        <w:rPr>
          <w:lang w:val="en-US"/>
        </w:rPr>
      </w:pPr>
    </w:p>
    <w:p w:rsidR="00044E22" w:rsidRPr="00077062" w:rsidRDefault="00AF68D6" w:rsidP="00AF68D6">
      <w:pPr>
        <w:pStyle w:val="BodyText"/>
        <w:ind w:left="1134" w:right="1134"/>
        <w:jc w:val="both"/>
        <w:rPr>
          <w:lang w:val="en-US"/>
        </w:rPr>
      </w:pPr>
      <w:r w:rsidRPr="00AF68D6">
        <w:rPr>
          <w:lang w:val="en-US"/>
        </w:rPr>
        <w:t>Nonetheless, this success at the national level obscures important sub-national heterogeneities and an overriding high contribution to the worldwide disease burden. Despite these declines, India has remained a key center of measles activity. For example, India ranked among the first 10 countries worldwide by reported measles cases in the year 2023, with 10,368 cases reported in one provisional report.11 This highlights the fact that although the incidence of the disease has decreased, the voluminous nature of India's population and birth cohort ensures that high numbers of cases still take place and represent an ever-present threat of massive scale outbreaks.</w:t>
      </w:r>
      <w:r w:rsidR="00044E22" w:rsidRPr="00077062">
        <w:rPr>
          <w:lang w:val="en-US"/>
        </w:rPr>
        <w:t>.</w:t>
      </w:r>
    </w:p>
    <w:p w:rsidR="00044E22" w:rsidRPr="00077062" w:rsidRDefault="00044E22" w:rsidP="00077062">
      <w:pPr>
        <w:pStyle w:val="BodyText"/>
        <w:ind w:left="1133"/>
        <w:rPr>
          <w:color w:val="4F81BD" w:themeColor="accent1"/>
          <w:lang w:val="en-US"/>
        </w:rPr>
      </w:pPr>
    </w:p>
    <w:p w:rsidR="00044E22" w:rsidRPr="005340F0" w:rsidRDefault="00044E22" w:rsidP="00077062">
      <w:pPr>
        <w:pStyle w:val="BodyText"/>
        <w:ind w:left="1133"/>
        <w:rPr>
          <w:b/>
          <w:color w:val="000000" w:themeColor="text1"/>
          <w:lang w:val="en-US"/>
        </w:rPr>
      </w:pPr>
      <w:r w:rsidRPr="005340F0">
        <w:rPr>
          <w:b/>
          <w:color w:val="000000" w:themeColor="text1"/>
          <w:lang w:val="en-US"/>
        </w:rPr>
        <w:t>The Alarming Rise in Case Fatality Rate</w:t>
      </w:r>
    </w:p>
    <w:p w:rsidR="00044E22" w:rsidRPr="00077062" w:rsidRDefault="00044E22" w:rsidP="00A46679">
      <w:pPr>
        <w:pStyle w:val="BodyText"/>
        <w:spacing w:before="120" w:line="276" w:lineRule="auto"/>
        <w:ind w:left="1134" w:right="1134" w:firstLine="567"/>
        <w:jc w:val="both"/>
        <w:rPr>
          <w:lang w:val="en-US"/>
        </w:rPr>
      </w:pPr>
    </w:p>
    <w:p w:rsidR="00AF68D6" w:rsidRPr="00AF68D6" w:rsidRDefault="00AF68D6" w:rsidP="00AF68D6">
      <w:pPr>
        <w:pStyle w:val="NormalWeb"/>
        <w:spacing w:before="120" w:after="120" w:line="276" w:lineRule="auto"/>
        <w:ind w:left="1134" w:right="1134" w:firstLine="567"/>
        <w:rPr>
          <w:lang w:val="en-US"/>
        </w:rPr>
      </w:pPr>
      <w:r w:rsidRPr="00AF68D6">
        <w:rPr>
          <w:lang w:val="en-US"/>
        </w:rPr>
        <w:t>Most worrisome epidemiological trend is the rapid and sustained increase in the measles case fatality rate. While incidence was falling, the proportion of such incidence that proved fatal began to shoot up steeply. The identical period-of-decade analysis that showed declining incidence also showed that the CFR, having bottomed out at an all-time low of 0.13% in the year 2014, then launched an relentless surge and by the year 2020 had reached an ominous 3.3%.9 Other estimates place the CFR in 2020 still higher, at 3.68%.9 This trend implies that while fewer children became measles affected, those that did became increasingly likely to die from the infection.</w:t>
      </w:r>
    </w:p>
    <w:p w:rsidR="00AF68D6" w:rsidRPr="00AF68D6" w:rsidRDefault="00AF68D6" w:rsidP="00AF68D6">
      <w:pPr>
        <w:pStyle w:val="NormalWeb"/>
        <w:spacing w:before="120" w:after="120" w:line="276" w:lineRule="auto"/>
        <w:ind w:left="1134" w:right="1134" w:firstLine="567"/>
        <w:rPr>
          <w:lang w:val="en-US"/>
        </w:rPr>
      </w:pPr>
      <w:r w:rsidRPr="00AF68D6">
        <w:rPr>
          <w:lang w:val="en-US"/>
        </w:rPr>
        <w:t>This increased mortality risk did not occur uniformly around the country, revealing stark geographical variations in the outcome of health. The surge in CFR was especially high in various north Indian states. During the year 2020, the CFR reported in Bihar amounted to an astonishing 18.2%, Haryana to 16.2%, and Madhya Pradesh and Karnataka to 14.9% each.9 They indicate significant sub-national variations either in the virulence of the disease, the pre-existing nutritional state of the people, or more likely the efficacy of local healthcare facilities to treat severe measles complications effectively.</w:t>
      </w:r>
    </w:p>
    <w:p w:rsidR="00AF68D6" w:rsidRPr="00AF68D6" w:rsidRDefault="00AF68D6" w:rsidP="00AF68D6">
      <w:pPr>
        <w:pStyle w:val="NormalWeb"/>
        <w:spacing w:before="120" w:after="120" w:line="276" w:lineRule="auto"/>
        <w:ind w:left="1134" w:right="1134" w:firstLine="567"/>
        <w:rPr>
          <w:lang w:val="en-US"/>
        </w:rPr>
      </w:pPr>
      <w:r w:rsidRPr="00AF68D6">
        <w:rPr>
          <w:lang w:val="en-US"/>
        </w:rPr>
        <w:t xml:space="preserve">This paradoxical trend—of declining incidence and increasing fatality—defies an uncomplicated explanation and can be due to various interacting forces. One possible explanation is </w:t>
      </w:r>
      <w:r w:rsidRPr="00AF68D6">
        <w:rPr>
          <w:lang w:val="en-US"/>
        </w:rPr>
        <w:lastRenderedPageBreak/>
        <w:t xml:space="preserve">the existence of a "surveillance artifact." With decreasing overall disease incidence due to effective vaccination efforts, the character of case reporting can alter. The public health surveillance system, which once picked up the entire range of disease severity, will increasingly pick up only the most severe ones—i.e., those hospitalized and by virtue of the intensive care required are more likely to be fatal. Milder illness that is treated by the community will not be reported and hence will </w:t>
      </w:r>
      <w:proofErr w:type="spellStart"/>
      <w:r w:rsidRPr="00AF68D6">
        <w:rPr>
          <w:lang w:val="en-US"/>
        </w:rPr>
        <w:t>artifactually</w:t>
      </w:r>
      <w:proofErr w:type="spellEnd"/>
      <w:r w:rsidRPr="00AF68D6">
        <w:rPr>
          <w:lang w:val="en-US"/>
        </w:rPr>
        <w:t xml:space="preserve"> increase the calculated CFR.12 Such an increasing CFR will not represent an actual increased virulence of the virus but an artifact due to the data being biased.</w:t>
      </w:r>
    </w:p>
    <w:p w:rsidR="00AF68D6" w:rsidRDefault="00AF68D6" w:rsidP="00AF68D6">
      <w:pPr>
        <w:pStyle w:val="NormalWeb"/>
        <w:spacing w:before="120" w:after="120" w:line="276" w:lineRule="auto"/>
        <w:ind w:left="1134" w:right="1134" w:firstLine="567"/>
        <w:rPr>
          <w:lang w:val="en-US"/>
        </w:rPr>
      </w:pPr>
      <w:r w:rsidRPr="00AF68D6">
        <w:rPr>
          <w:lang w:val="en-US"/>
        </w:rPr>
        <w:t xml:space="preserve">Alternatively, and more ominously, the trend may represent an actual decline in the clinical care provided to severe measles. The dramatic spike in CFR, especially apparent from 2017 onward and steepening through 2020, correlates with the period of unprecedented burden on the Indian healthcare system leading up to the COVID-19 pandemic.9 The pandemic has been described to cause universal disruption to primary care services, drawing away resources and staff from regular health requirements.14 That pressure may well have undermined the system's capacity to deliver the intensive supportive care—such as the management of pneumonia, the cause of most measles mortality—needed by critically unwell children.13 Should this be the explanation, the increased CFR represents an essential failure not in prevention but in care, and underscores the requirement that an overarching measles elimination strategy place equal emphasis on improving vaccination programs and the clinical capacity to save lives. It is very likely that the artifact related to surveillance and an erosion of care quality each </w:t>
      </w:r>
      <w:proofErr w:type="gramStart"/>
      <w:r w:rsidRPr="00AF68D6">
        <w:rPr>
          <w:lang w:val="en-US"/>
        </w:rPr>
        <w:t>have</w:t>
      </w:r>
      <w:proofErr w:type="gramEnd"/>
      <w:r w:rsidRPr="00AF68D6">
        <w:rPr>
          <w:lang w:val="en-US"/>
        </w:rPr>
        <w:t xml:space="preserve"> played a part in this distressing trend.</w:t>
      </w:r>
    </w:p>
    <w:p w:rsidR="00AF68D6" w:rsidRDefault="00AF68D6" w:rsidP="00AF68D6">
      <w:pPr>
        <w:pStyle w:val="NormalWeb"/>
        <w:rPr>
          <w:lang w:val="en-US"/>
        </w:rPr>
      </w:pPr>
    </w:p>
    <w:p w:rsidR="003F3655" w:rsidRPr="003F3655" w:rsidRDefault="00077062" w:rsidP="00AF68D6">
      <w:pPr>
        <w:pStyle w:val="NormalWeb"/>
        <w:rPr>
          <w:lang w:val="en-US"/>
        </w:rPr>
      </w:pPr>
      <w:r>
        <w:rPr>
          <w:lang w:val="en-US"/>
        </w:rPr>
        <w:t xml:space="preserve">               </w:t>
      </w:r>
      <w:r w:rsidR="003F3655" w:rsidRPr="003F3655">
        <w:rPr>
          <w:b/>
          <w:bCs/>
          <w:lang w:val="en-US"/>
        </w:rPr>
        <w:t>"Estimated Measles-Containing Vaccine (MCV1 and MCV2) Coverage by Year (2015–2021)"</w:t>
      </w:r>
    </w:p>
    <w:p w:rsidR="00077062" w:rsidRDefault="00077062" w:rsidP="00077062">
      <w:pPr>
        <w:pStyle w:val="Heading2"/>
        <w:rPr>
          <w:lang w:val="en-US"/>
        </w:rPr>
      </w:pPr>
    </w:p>
    <w:tbl>
      <w:tblPr>
        <w:tblStyle w:val="TableGrid"/>
        <w:tblW w:w="9360" w:type="dxa"/>
        <w:tblInd w:w="1278" w:type="dxa"/>
        <w:tblLayout w:type="fixed"/>
        <w:tblLook w:val="0600"/>
      </w:tblPr>
      <w:tblGrid>
        <w:gridCol w:w="1872"/>
        <w:gridCol w:w="1872"/>
        <w:gridCol w:w="1872"/>
        <w:gridCol w:w="1872"/>
        <w:gridCol w:w="1872"/>
      </w:tblGrid>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Year</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Reported Cases (Children 0-5)</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Incidence Rate (per million children 0-5)</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Reported Deaths (Children 0-5)</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Case Fatality Rate (CFR %)</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2011</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0.67%</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2013</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628.8</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2014</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0.13%</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2017</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10.4 (all ages)</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2020</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52.0</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3.3% - 3.68%</w:t>
            </w:r>
          </w:p>
        </w:tc>
      </w:tr>
      <w:tr w:rsidR="00077062" w:rsidRPr="005B7167" w:rsidTr="00077062">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2021</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4.0 (all ages)</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1872" w:type="dxa"/>
          </w:tcPr>
          <w:p w:rsidR="00077062" w:rsidRPr="005B7167" w:rsidRDefault="00077062"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bl>
    <w:p w:rsidR="00077062" w:rsidRDefault="009E0D45" w:rsidP="00077062">
      <w:pPr>
        <w:pStyle w:val="Heading2"/>
        <w:ind w:left="720"/>
        <w:rPr>
          <w:lang w:val="en-US"/>
        </w:rPr>
      </w:pPr>
      <w:r>
        <w:rPr>
          <w:noProof/>
          <w:lang w:val="en-US"/>
        </w:rPr>
        <w:lastRenderedPageBreak/>
        <w:drawing>
          <wp:inline distT="0" distB="0" distL="0" distR="0">
            <wp:extent cx="2843419" cy="2843419"/>
            <wp:effectExtent l="19050" t="0" r="0" b="0"/>
            <wp:docPr id="1" name="Picture 0" descr="Gemini_Generated_Image_run1onrun1onru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mini_Generated_Image_run1onrun1onrun1.png"/>
                    <pic:cNvPicPr/>
                  </pic:nvPicPr>
                  <pic:blipFill>
                    <a:blip r:embed="rId11" cstate="print"/>
                    <a:stretch>
                      <a:fillRect/>
                    </a:stretch>
                  </pic:blipFill>
                  <pic:spPr>
                    <a:xfrm>
                      <a:off x="0" y="0"/>
                      <a:ext cx="2848049" cy="2848049"/>
                    </a:xfrm>
                    <a:prstGeom prst="rect">
                      <a:avLst/>
                    </a:prstGeom>
                  </pic:spPr>
                </pic:pic>
              </a:graphicData>
            </a:graphic>
          </wp:inline>
        </w:drawing>
      </w:r>
      <w:r>
        <w:rPr>
          <w:lang w:val="en-US"/>
        </w:rPr>
        <w:t xml:space="preserve">    </w:t>
      </w:r>
      <w:r w:rsidR="00FA1486">
        <w:rPr>
          <w:noProof/>
          <w:lang w:val="en-US"/>
        </w:rPr>
        <w:drawing>
          <wp:inline distT="0" distB="0" distL="0" distR="0">
            <wp:extent cx="3334744" cy="3334744"/>
            <wp:effectExtent l="19050" t="0" r="0" b="0"/>
            <wp:docPr id="2" name="Picture 1" descr="Gemini_Generated_Image_144x3d144x3d144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mini_Generated_Image_144x3d144x3d144x.png"/>
                    <pic:cNvPicPr/>
                  </pic:nvPicPr>
                  <pic:blipFill>
                    <a:blip r:embed="rId12" cstate="print"/>
                    <a:stretch>
                      <a:fillRect/>
                    </a:stretch>
                  </pic:blipFill>
                  <pic:spPr>
                    <a:xfrm>
                      <a:off x="0" y="0"/>
                      <a:ext cx="3337322" cy="3337322"/>
                    </a:xfrm>
                    <a:prstGeom prst="rect">
                      <a:avLst/>
                    </a:prstGeom>
                  </pic:spPr>
                </pic:pic>
              </a:graphicData>
            </a:graphic>
          </wp:inline>
        </w:drawing>
      </w:r>
    </w:p>
    <w:p w:rsidR="00D6561B" w:rsidRPr="00D6561B" w:rsidRDefault="00D6561B" w:rsidP="00D6561B">
      <w:pPr>
        <w:rPr>
          <w:lang w:val="en-US"/>
        </w:rPr>
      </w:pPr>
    </w:p>
    <w:p w:rsidR="00A46679" w:rsidRPr="005B7167" w:rsidRDefault="00A46679" w:rsidP="005340F0">
      <w:pPr>
        <w:pStyle w:val="Heading1"/>
        <w:ind w:left="720"/>
        <w:rPr>
          <w:rFonts w:eastAsia="Google Sans"/>
        </w:rPr>
      </w:pPr>
      <w:r w:rsidRPr="005B7167">
        <w:rPr>
          <w:rFonts w:eastAsia="Google Sans"/>
        </w:rPr>
        <w:t>The Engine of Control: National Vaccination Strategies and Coverage</w:t>
      </w:r>
    </w:p>
    <w:p w:rsidR="00A46679" w:rsidRPr="005B7167" w:rsidRDefault="00A46679" w:rsidP="00A46679">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A46679" w:rsidRPr="005B7167" w:rsidRDefault="00A46679" w:rsidP="005340F0">
      <w:pPr>
        <w:pStyle w:val="normal0"/>
        <w:pBdr>
          <w:top w:val="nil"/>
          <w:left w:val="nil"/>
          <w:bottom w:val="nil"/>
          <w:right w:val="nil"/>
          <w:between w:val="nil"/>
        </w:pBdr>
        <w:spacing w:before="120" w:line="276" w:lineRule="auto"/>
        <w:ind w:left="1134" w:right="1134" w:firstLine="720"/>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The significant reduction in measles incidence in India is a direct result of a massive, multi-decade public health effort centered on vaccination. The Government of India, through its Universal Immunization </w:t>
      </w:r>
      <w:proofErr w:type="spellStart"/>
      <w:r w:rsidRPr="005B7167">
        <w:rPr>
          <w:rFonts w:ascii="Times New Roman" w:eastAsia="Google Sans Text" w:hAnsi="Times New Roman" w:cs="Times New Roman"/>
          <w:color w:val="1B1C1D"/>
        </w:rPr>
        <w:t>Programme</w:t>
      </w:r>
      <w:proofErr w:type="spellEnd"/>
      <w:r w:rsidRPr="005B7167">
        <w:rPr>
          <w:rFonts w:ascii="Times New Roman" w:eastAsia="Google Sans Text" w:hAnsi="Times New Roman" w:cs="Times New Roman"/>
          <w:color w:val="1B1C1D"/>
        </w:rPr>
        <w:t xml:space="preserve"> (UIP), has deployed a multi-pronged strategy combining routine immunization with large-scale supplementary campaigns to build population immunity. While these efforts have been instrumental in controlling the disease, they have consistently fallen short of the coverage levels required for full elimination, leaving persistent immunity gaps that continue to fuel transmission.</w:t>
      </w:r>
    </w:p>
    <w:p w:rsidR="00A46679" w:rsidRPr="005B7167" w:rsidRDefault="00A46679" w:rsidP="00A46679">
      <w:pPr>
        <w:pStyle w:val="normal0"/>
        <w:pBdr>
          <w:top w:val="nil"/>
          <w:left w:val="nil"/>
          <w:bottom w:val="nil"/>
          <w:right w:val="nil"/>
          <w:between w:val="nil"/>
        </w:pBdr>
        <w:spacing w:after="240" w:line="276" w:lineRule="auto"/>
        <w:ind w:left="680" w:right="1134"/>
        <w:outlineLvl w:val="1"/>
        <w:rPr>
          <w:rFonts w:ascii="Times New Roman" w:eastAsia="Google Sans Text" w:hAnsi="Times New Roman" w:cs="Times New Roman"/>
          <w:color w:val="1B1C1D"/>
        </w:rPr>
      </w:pPr>
    </w:p>
    <w:p w:rsidR="00A46679" w:rsidRPr="002179A3" w:rsidRDefault="00A46679" w:rsidP="002179A3">
      <w:pPr>
        <w:pStyle w:val="Heading3"/>
        <w:spacing w:before="0" w:after="120" w:line="275" w:lineRule="auto"/>
        <w:ind w:left="680"/>
        <w:rPr>
          <w:rFonts w:ascii="Times New Roman" w:eastAsia="Google Sans" w:hAnsi="Times New Roman" w:cs="Times New Roman"/>
          <w:color w:val="1B1C1D"/>
          <w:lang w:val="en-US"/>
        </w:rPr>
      </w:pPr>
      <w:r w:rsidRPr="005B7167">
        <w:rPr>
          <w:rFonts w:ascii="Times New Roman" w:eastAsia="Google Sans" w:hAnsi="Times New Roman" w:cs="Times New Roman"/>
          <w:color w:val="1B1C1D"/>
        </w:rPr>
        <w:t>A Multi-Pronged National Strategy</w:t>
      </w:r>
    </w:p>
    <w:p w:rsidR="002179A3" w:rsidRPr="002179A3" w:rsidRDefault="002179A3" w:rsidP="002179A3">
      <w:pPr>
        <w:pStyle w:val="Heading3"/>
        <w:spacing w:beforeLines="120" w:after="120" w:line="276" w:lineRule="auto"/>
        <w:ind w:left="1134" w:right="1134" w:firstLine="567"/>
        <w:rPr>
          <w:rFonts w:ascii="Times New Roman" w:eastAsia="Google Sans Text" w:hAnsi="Times New Roman" w:cs="Times New Roman"/>
          <w:b w:val="0"/>
          <w:bCs w:val="0"/>
          <w:color w:val="1B1C1D"/>
          <w:lang w:val="en-US"/>
        </w:rPr>
      </w:pPr>
      <w:r w:rsidRPr="002179A3">
        <w:rPr>
          <w:rFonts w:ascii="Times New Roman" w:eastAsia="Google Sans Text" w:hAnsi="Times New Roman" w:cs="Times New Roman"/>
          <w:b w:val="0"/>
          <w:bCs w:val="0"/>
          <w:color w:val="1B1C1D"/>
          <w:lang w:val="en-US"/>
        </w:rPr>
        <w:t>India's national strategic plan to eliminate measles and rubella is grounded on the basis of key public health principles. Its overarching goal is to obtain and sustain minimum 95% population immunity by administration of at least two doses of measles- and rubella-containing vaccine.5 This is bolstered by the tripod of key functions: an effective and timely case-based system to alert about the detection of cases and outbreaks quickly; an accredited network of laboratories to affirm diagnosis; and an outbreak preparation and quick response system to be adequate.5</w:t>
      </w:r>
    </w:p>
    <w:p w:rsidR="005340F0" w:rsidRDefault="002179A3" w:rsidP="002179A3">
      <w:pPr>
        <w:pStyle w:val="Heading3"/>
        <w:spacing w:beforeLines="120" w:after="120" w:line="276" w:lineRule="auto"/>
        <w:ind w:left="1134" w:right="1134" w:firstLine="567"/>
        <w:rPr>
          <w:rFonts w:ascii="Times New Roman" w:eastAsia="Google Sans" w:hAnsi="Times New Roman" w:cs="Times New Roman"/>
          <w:color w:val="000000" w:themeColor="text1"/>
          <w:lang w:val="en-US"/>
        </w:rPr>
      </w:pPr>
      <w:r w:rsidRPr="002179A3">
        <w:rPr>
          <w:rFonts w:ascii="Times New Roman" w:eastAsia="Google Sans Text" w:hAnsi="Times New Roman" w:cs="Times New Roman"/>
          <w:b w:val="0"/>
          <w:bCs w:val="0"/>
          <w:color w:val="1B1C1D"/>
          <w:lang w:val="en-US"/>
        </w:rPr>
        <w:t xml:space="preserve">Vaccine delivery has also evolved over the years. The first dose of the measles-containing vaccine (MCV1), administered to children at the age of 9-12 months, was included in the UIP in 1985. Sensing that a single dose delivered weak immunity to the entire population, India became one among the last major countries to include its second dose (MCV2) to the national schedule in the year 2011 to be administered between the ages 16-24 months.5 One dramatic programmatic shift took place in the year 2017 with the introduction of the combined Measles-Rubella Containing Vaccine (MRCV), which is now administered to replace the first and second doses of the old </w:t>
      </w:r>
      <w:proofErr w:type="spellStart"/>
      <w:r w:rsidRPr="002179A3">
        <w:rPr>
          <w:rFonts w:ascii="Times New Roman" w:eastAsia="Google Sans Text" w:hAnsi="Times New Roman" w:cs="Times New Roman"/>
          <w:b w:val="0"/>
          <w:bCs w:val="0"/>
          <w:color w:val="1B1C1D"/>
          <w:lang w:val="en-US"/>
        </w:rPr>
        <w:t>monovalent</w:t>
      </w:r>
      <w:proofErr w:type="spellEnd"/>
      <w:r w:rsidRPr="002179A3">
        <w:rPr>
          <w:rFonts w:ascii="Times New Roman" w:eastAsia="Google Sans Text" w:hAnsi="Times New Roman" w:cs="Times New Roman"/>
          <w:b w:val="0"/>
          <w:bCs w:val="0"/>
          <w:color w:val="1B1C1D"/>
          <w:lang w:val="en-US"/>
        </w:rPr>
        <w:t xml:space="preserve"> measles vaccine to be administered through the routine immunization schedule.5</w:t>
      </w:r>
    </w:p>
    <w:p w:rsidR="00A46679" w:rsidRPr="005340F0" w:rsidRDefault="00A46679" w:rsidP="005340F0">
      <w:pPr>
        <w:pStyle w:val="Heading3"/>
        <w:spacing w:before="0" w:after="120" w:line="275" w:lineRule="auto"/>
        <w:ind w:left="720"/>
        <w:rPr>
          <w:rFonts w:ascii="Times New Roman" w:eastAsia="Google Sans" w:hAnsi="Times New Roman" w:cs="Times New Roman"/>
          <w:color w:val="000000" w:themeColor="text1"/>
          <w:lang w:val="en-US"/>
        </w:rPr>
      </w:pPr>
      <w:r w:rsidRPr="005340F0">
        <w:rPr>
          <w:rFonts w:ascii="Times New Roman" w:eastAsia="Google Sans" w:hAnsi="Times New Roman" w:cs="Times New Roman"/>
          <w:color w:val="000000" w:themeColor="text1"/>
        </w:rPr>
        <w:t>The Impact of Supplementary Immunization Activities (SIAs)</w:t>
      </w:r>
    </w:p>
    <w:p w:rsidR="00A46679" w:rsidRPr="005B7167" w:rsidRDefault="00A46679" w:rsidP="005340F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Given the challenges in achieving high coverage through routine services alone, Supplementary Immunization Activities (SIAs)—large-scale vaccination campaigns targeting wide age ranges—have been a cornerstone of India's strategy. A landmark measles catch-up campaign conducted between 2010 and 2013 targeted approximately 134 million children aged 9 months to 10 years.</w:t>
      </w:r>
      <w:r w:rsidRPr="005B7167">
        <w:rPr>
          <w:rFonts w:ascii="Times New Roman" w:eastAsia="Google Sans Text" w:hAnsi="Times New Roman" w:cs="Times New Roman"/>
          <w:color w:val="444746"/>
          <w:sz w:val="24"/>
          <w:szCs w:val="24"/>
          <w:vertAlign w:val="superscript"/>
        </w:rPr>
        <w:t>6</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The</w:t>
      </w:r>
      <w:proofErr w:type="gramEnd"/>
      <w:r w:rsidRPr="005B7167">
        <w:rPr>
          <w:rFonts w:ascii="Times New Roman" w:eastAsia="Google Sans Text" w:hAnsi="Times New Roman" w:cs="Times New Roman"/>
          <w:color w:val="1B1C1D"/>
        </w:rPr>
        <w:t xml:space="preserve"> impact of this campaign on </w:t>
      </w:r>
      <w:r w:rsidRPr="005B7167">
        <w:rPr>
          <w:rFonts w:ascii="Times New Roman" w:eastAsia="Google Sans Text" w:hAnsi="Times New Roman" w:cs="Times New Roman"/>
          <w:color w:val="1B1C1D"/>
        </w:rPr>
        <w:lastRenderedPageBreak/>
        <w:t>mortality was profound. An analysis using data from the nationally representative Million Death Study estimated that this SIA averted between 41,000 and 56,000 child deaths over its three-year duration, preventing 39-57% of the expected measles deaths nationally.</w:t>
      </w:r>
      <w:r w:rsidRPr="005B7167">
        <w:rPr>
          <w:rFonts w:ascii="Times New Roman" w:eastAsia="Google Sans Text" w:hAnsi="Times New Roman" w:cs="Times New Roman"/>
          <w:color w:val="444746"/>
          <w:sz w:val="24"/>
          <w:szCs w:val="24"/>
          <w:vertAlign w:val="superscript"/>
        </w:rPr>
        <w:t>17</w:t>
      </w:r>
      <w:r w:rsidRPr="005B7167">
        <w:rPr>
          <w:rFonts w:ascii="Times New Roman" w:eastAsia="Google Sans Text" w:hAnsi="Times New Roman" w:cs="Times New Roman"/>
          <w:color w:val="1B1C1D"/>
        </w:rPr>
        <w:t xml:space="preserve"> The effect was most pronounced in the 14 states specifically targeted by the campaign, which saw a 27% reduction in measles mortality rates among children under five, compared to an 11% reduction in non-campaign states.</w:t>
      </w:r>
      <w:r w:rsidRPr="005B7167">
        <w:rPr>
          <w:rFonts w:ascii="Times New Roman" w:eastAsia="Google Sans Text" w:hAnsi="Times New Roman" w:cs="Times New Roman"/>
          <w:color w:val="444746"/>
          <w:sz w:val="24"/>
          <w:szCs w:val="24"/>
          <w:vertAlign w:val="superscript"/>
        </w:rPr>
        <w:t>18</w:t>
      </w:r>
    </w:p>
    <w:p w:rsidR="00A46679" w:rsidRDefault="00A46679" w:rsidP="007F5212">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Building on this success, India launched an even larger MR-SIA between 2017 and 2019. This colossal undertaking successfully vaccinated approximately 324 million children across 34 states and union territories, serving as the vehicle for introducing the rubella component into the national program.</w:t>
      </w:r>
      <w:r w:rsidRPr="005B7167">
        <w:rPr>
          <w:rFonts w:ascii="Times New Roman" w:eastAsia="Google Sans Text" w:hAnsi="Times New Roman" w:cs="Times New Roman"/>
          <w:color w:val="444746"/>
          <w:sz w:val="24"/>
          <w:szCs w:val="24"/>
          <w:vertAlign w:val="superscript"/>
        </w:rPr>
        <w:t>5</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These</w:t>
      </w:r>
      <w:proofErr w:type="gramEnd"/>
      <w:r w:rsidRPr="005B7167">
        <w:rPr>
          <w:rFonts w:ascii="Times New Roman" w:eastAsia="Google Sans Text" w:hAnsi="Times New Roman" w:cs="Times New Roman"/>
          <w:color w:val="1B1C1D"/>
        </w:rPr>
        <w:t xml:space="preserve"> campaigns have been complemented by initiatives like Mission </w:t>
      </w:r>
      <w:proofErr w:type="spellStart"/>
      <w:r w:rsidRPr="005B7167">
        <w:rPr>
          <w:rFonts w:ascii="Times New Roman" w:eastAsia="Google Sans Text" w:hAnsi="Times New Roman" w:cs="Times New Roman"/>
          <w:color w:val="1B1C1D"/>
        </w:rPr>
        <w:t>Indradhanush</w:t>
      </w:r>
      <w:proofErr w:type="spellEnd"/>
      <w:r w:rsidRPr="005B7167">
        <w:rPr>
          <w:rFonts w:ascii="Times New Roman" w:eastAsia="Google Sans Text" w:hAnsi="Times New Roman" w:cs="Times New Roman"/>
          <w:color w:val="1B1C1D"/>
        </w:rPr>
        <w:t>, which uses periodic, intensified drives to reach unvaccinated and partially vaccinated children in districts with persistently low coverage.</w:t>
      </w:r>
      <w:r w:rsidRPr="005B7167">
        <w:rPr>
          <w:rFonts w:ascii="Times New Roman" w:eastAsia="Google Sans Text" w:hAnsi="Times New Roman" w:cs="Times New Roman"/>
          <w:color w:val="444746"/>
          <w:sz w:val="24"/>
          <w:szCs w:val="24"/>
          <w:vertAlign w:val="superscript"/>
        </w:rPr>
        <w:t>5</w:t>
      </w:r>
    </w:p>
    <w:p w:rsidR="007F5212" w:rsidRPr="005B7167" w:rsidRDefault="007F5212" w:rsidP="007F5212">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444746"/>
          <w:sz w:val="24"/>
          <w:szCs w:val="24"/>
          <w:vertAlign w:val="superscript"/>
        </w:rPr>
      </w:pPr>
    </w:p>
    <w:p w:rsidR="00A46679" w:rsidRPr="007F5212" w:rsidRDefault="00A46679" w:rsidP="007F5212">
      <w:pPr>
        <w:pStyle w:val="Heading3"/>
        <w:spacing w:before="0" w:after="120" w:line="275" w:lineRule="auto"/>
        <w:ind w:left="720"/>
        <w:rPr>
          <w:rFonts w:ascii="Times New Roman" w:eastAsia="Google Sans" w:hAnsi="Times New Roman" w:cs="Times New Roman"/>
          <w:color w:val="000000" w:themeColor="text1"/>
          <w:lang w:val="en-US"/>
        </w:rPr>
      </w:pPr>
      <w:r w:rsidRPr="005340F0">
        <w:rPr>
          <w:rFonts w:ascii="Times New Roman" w:eastAsia="Google Sans" w:hAnsi="Times New Roman" w:cs="Times New Roman"/>
          <w:color w:val="000000" w:themeColor="text1"/>
        </w:rPr>
        <w:t>The Persistent Immunity Gap: Coverage Levels and the "Zero-Dose" Child</w:t>
      </w:r>
    </w:p>
    <w:p w:rsidR="00A46679" w:rsidRPr="005B7167" w:rsidRDefault="00A46679" w:rsidP="005340F0">
      <w:pPr>
        <w:pStyle w:val="normal0"/>
        <w:pBdr>
          <w:top w:val="nil"/>
          <w:left w:val="nil"/>
          <w:bottom w:val="nil"/>
          <w:right w:val="nil"/>
          <w:between w:val="nil"/>
        </w:pBdr>
        <w:spacing w:before="120" w:line="276" w:lineRule="auto"/>
        <w:ind w:left="1134" w:right="1134" w:firstLine="567"/>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Despite these monumental efforts, vaccination coverage in India has consistently remained below the 95% threshold required to interrupt endemic measles transmission and achieve herd immunity.</w:t>
      </w:r>
      <w:r w:rsidRPr="005B7167">
        <w:rPr>
          <w:rFonts w:ascii="Times New Roman" w:eastAsia="Google Sans Text" w:hAnsi="Times New Roman" w:cs="Times New Roman"/>
          <w:color w:val="444746"/>
          <w:sz w:val="24"/>
          <w:szCs w:val="24"/>
          <w:vertAlign w:val="superscript"/>
        </w:rPr>
        <w:t>6</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While</w:t>
      </w:r>
      <w:proofErr w:type="gramEnd"/>
      <w:r w:rsidRPr="005B7167">
        <w:rPr>
          <w:rFonts w:ascii="Times New Roman" w:eastAsia="Google Sans Text" w:hAnsi="Times New Roman" w:cs="Times New Roman"/>
          <w:color w:val="1B1C1D"/>
        </w:rPr>
        <w:t xml:space="preserve"> routine immunization coverage has improved substantially, significant gaps remain. National coverage for MCV1 increased from 68% in 2005 to a peak of 95% in 2019, before dipping to 89% in 2021 due to pandemic-related disruptions. The improvement in MCV2 coverage has been even more dramatic, surging from a mere 27% in 2011 to 82% in 2021.</w:t>
      </w:r>
      <w:r w:rsidRPr="005B7167">
        <w:rPr>
          <w:rFonts w:ascii="Times New Roman" w:eastAsia="Google Sans Text" w:hAnsi="Times New Roman" w:cs="Times New Roman"/>
          <w:color w:val="444746"/>
          <w:sz w:val="24"/>
          <w:szCs w:val="24"/>
          <w:vertAlign w:val="superscript"/>
        </w:rPr>
        <w:t>5</w:t>
      </w:r>
    </w:p>
    <w:p w:rsidR="00A46679" w:rsidRPr="005B7167" w:rsidRDefault="00A46679" w:rsidP="005340F0">
      <w:pPr>
        <w:pStyle w:val="normal0"/>
        <w:pBdr>
          <w:top w:val="nil"/>
          <w:left w:val="nil"/>
          <w:bottom w:val="nil"/>
          <w:right w:val="nil"/>
          <w:between w:val="nil"/>
        </w:pBdr>
        <w:spacing w:before="120"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While laudable, these figures are insufficient. National coverage of 89% for a first dose and 82% for a second dose leaves millions of children either completely unprotected or under-protected each year. This creates a constantly replenishing pool of susceptible individuals. A critical focus of modern immunization strategy is the "zero-dose" child—one who has not received even a single dose of the vaccine. Analysis of the National Family Health Survey (NFHS-5) data from 2019-21 reveals that a staggering 11.5% of children in India aged 24-35 months are zero-dose for measles.</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 xml:space="preserve"> This group represents the core of the susceptibility problem, acting as the primary fuel for outbreaks.</w:t>
      </w:r>
    </w:p>
    <w:p w:rsidR="00A46679" w:rsidRPr="005B7167" w:rsidRDefault="00A46679" w:rsidP="005340F0">
      <w:pPr>
        <w:pStyle w:val="normal0"/>
        <w:pBdr>
          <w:top w:val="nil"/>
          <w:left w:val="nil"/>
          <w:bottom w:val="nil"/>
          <w:right w:val="nil"/>
          <w:between w:val="nil"/>
        </w:pBdr>
        <w:spacing w:before="120"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The reliance on massive, periodic SIAs, while effective for rapid mortality reduction, can be viewed as a double-edged sword. Their repeated necessity is, in itself, an indictment of the routine immunization (RI) system's inability to consistently reach every child. These campaigns are resource-intensive, costing hundreds of millions of dollars, and represent a reactive strategy to compensate for the foundational weaknesses of the day-to-day health system.</w:t>
      </w:r>
      <w:r w:rsidRPr="005B7167">
        <w:rPr>
          <w:rFonts w:ascii="Times New Roman" w:eastAsia="Google Sans Text" w:hAnsi="Times New Roman" w:cs="Times New Roman"/>
          <w:color w:val="444746"/>
          <w:sz w:val="24"/>
          <w:szCs w:val="24"/>
          <w:vertAlign w:val="superscript"/>
        </w:rPr>
        <w:t>6</w:t>
      </w:r>
      <w:r w:rsidRPr="005B7167">
        <w:rPr>
          <w:rFonts w:ascii="Times New Roman" w:eastAsia="Google Sans Text" w:hAnsi="Times New Roman" w:cs="Times New Roman"/>
          <w:color w:val="1B1C1D"/>
        </w:rPr>
        <w:t xml:space="preserve"> A truly sustainable and resilient measles elimination program cannot depend on perpetual emergency campaigns; it must be built upon an RI system that is robust enough to achieve and maintain over 95% two-dose coverage year after year.</w:t>
      </w:r>
    </w:p>
    <w:p w:rsidR="00A46679" w:rsidRDefault="00A46679" w:rsidP="005340F0">
      <w:pPr>
        <w:pStyle w:val="normal0"/>
        <w:pBdr>
          <w:top w:val="nil"/>
          <w:left w:val="nil"/>
          <w:bottom w:val="nil"/>
          <w:right w:val="nil"/>
          <w:between w:val="nil"/>
        </w:pBdr>
        <w:spacing w:before="120"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Furthermore, the gap between MCV1 and MCV2 coverage represents the system's weakest link. The drop-off from 89% coverage for the first dose to 82% for the second signifies a failure to retain children in the immunization schedule.</w:t>
      </w:r>
      <w:r w:rsidRPr="005B7167">
        <w:rPr>
          <w:rFonts w:ascii="Times New Roman" w:eastAsia="Google Sans Text" w:hAnsi="Times New Roman" w:cs="Times New Roman"/>
          <w:color w:val="444746"/>
          <w:sz w:val="24"/>
          <w:szCs w:val="24"/>
          <w:vertAlign w:val="superscript"/>
        </w:rPr>
        <w:t>5</w:t>
      </w:r>
      <w:r w:rsidRPr="005B7167">
        <w:rPr>
          <w:rFonts w:ascii="Times New Roman" w:eastAsia="Google Sans Text" w:hAnsi="Times New Roman" w:cs="Times New Roman"/>
          <w:color w:val="1B1C1D"/>
        </w:rPr>
        <w:t xml:space="preserve"> In some contexts, this gap is far more severe; reports during the 2022 outbreaks cited a national MCV2 coverage rate as low as 30%.</w:t>
      </w:r>
      <w:r w:rsidRPr="005B7167">
        <w:rPr>
          <w:rFonts w:ascii="Times New Roman" w:eastAsia="Google Sans Text" w:hAnsi="Times New Roman" w:cs="Times New Roman"/>
          <w:color w:val="444746"/>
          <w:sz w:val="24"/>
          <w:szCs w:val="24"/>
          <w:vertAlign w:val="superscript"/>
        </w:rPr>
        <w:t>14</w:t>
      </w:r>
      <w:r w:rsidRPr="005B7167">
        <w:rPr>
          <w:rFonts w:ascii="Times New Roman" w:eastAsia="Google Sans Text" w:hAnsi="Times New Roman" w:cs="Times New Roman"/>
          <w:color w:val="1B1C1D"/>
        </w:rPr>
        <w:t xml:space="preserve"> This highlights a systemic challenge in tracking children and ensuring their return for a second dose administered months after the first. This cohort of partially vaccinated, "one-dose" children remains vulnerable to infection and contributes to continued virus transmission. Closing this MCV1-MCV2 gap is a critical programmatic priority and a key indicator of the health system's overall performance.</w:t>
      </w:r>
    </w:p>
    <w:p w:rsidR="005966C6" w:rsidRPr="005966C6" w:rsidRDefault="005966C6" w:rsidP="005966C6">
      <w:pPr>
        <w:pStyle w:val="normal0"/>
        <w:pBdr>
          <w:top w:val="nil"/>
          <w:left w:val="nil"/>
          <w:bottom w:val="nil"/>
          <w:right w:val="nil"/>
          <w:between w:val="nil"/>
        </w:pBdr>
        <w:spacing w:before="120" w:line="276" w:lineRule="auto"/>
        <w:ind w:left="1134" w:right="1134" w:firstLine="567"/>
        <w:jc w:val="center"/>
        <w:rPr>
          <w:rFonts w:ascii="Times New Roman" w:eastAsia="Google Sans Text" w:hAnsi="Times New Roman" w:cs="Times New Roman"/>
          <w:b/>
          <w:color w:val="1B1C1D"/>
          <w:u w:val="single"/>
        </w:rPr>
      </w:pPr>
      <w:r w:rsidRPr="005966C6">
        <w:rPr>
          <w:rFonts w:ascii="Times New Roman" w:eastAsia="Google Sans Text" w:hAnsi="Times New Roman" w:cs="Times New Roman"/>
          <w:b/>
          <w:color w:val="1B1C1D"/>
          <w:u w:val="single"/>
          <w:lang w:val="ru-RU"/>
        </w:rPr>
        <w:t>"Estimated Measles-Containing Vaccine (MCV1 and MCV2) Coverage by Year (2015–2021)"</w:t>
      </w:r>
    </w:p>
    <w:p w:rsidR="00F56A40" w:rsidRPr="00F56A40" w:rsidRDefault="00F56A40">
      <w:pPr>
        <w:pStyle w:val="BodyText"/>
        <w:rPr>
          <w:lang w:val="en-US"/>
        </w:rPr>
      </w:pPr>
      <w:r>
        <w:rPr>
          <w:lang w:val="en-US"/>
        </w:rPr>
        <w:t xml:space="preserve">                     </w:t>
      </w:r>
    </w:p>
    <w:tbl>
      <w:tblPr>
        <w:tblW w:w="9360" w:type="dxa"/>
        <w:tblInd w:w="12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tblPr>
      <w:tblGrid>
        <w:gridCol w:w="3120"/>
        <w:gridCol w:w="3120"/>
        <w:gridCol w:w="3120"/>
      </w:tblGrid>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Year</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Estimated MCV1 Coverage (%)</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Estimated MCV2 Coverage (%)</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87%</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lastRenderedPageBreak/>
              <w:t>2016</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2017</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2018</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2019</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95%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84%</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2020</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89%</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Not specified</w:t>
            </w:r>
          </w:p>
        </w:tc>
      </w:tr>
      <w:tr w:rsidR="00F56A40" w:rsidRPr="005B7167" w:rsidTr="00F56A40">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5B7167">
              <w:rPr>
                <w:rFonts w:ascii="Times New Roman" w:eastAsia="Google Sans Text" w:hAnsi="Times New Roman" w:cs="Times New Roman"/>
                <w:b/>
                <w:color w:val="1B1C1D"/>
              </w:rPr>
              <w:t>2021</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89%</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F56A40" w:rsidRPr="005B7167" w:rsidRDefault="00F56A40" w:rsidP="00F23322">
            <w:pPr>
              <w:pStyle w:val="normal0"/>
              <w:pBdr>
                <w:top w:val="nil"/>
                <w:left w:val="nil"/>
                <w:bottom w:val="nil"/>
                <w:right w:val="nil"/>
                <w:between w:val="nil"/>
              </w:pBdr>
              <w:spacing w:before="120" w:after="120" w:line="275" w:lineRule="auto"/>
              <w:rPr>
                <w:rFonts w:ascii="Times New Roman" w:eastAsia="Google Sans Text" w:hAnsi="Times New Roman" w:cs="Times New Roman"/>
                <w:color w:val="1B1C1D"/>
              </w:rPr>
            </w:pPr>
            <w:r w:rsidRPr="005B7167">
              <w:rPr>
                <w:rFonts w:ascii="Times New Roman" w:eastAsia="Google Sans Text" w:hAnsi="Times New Roman" w:cs="Times New Roman"/>
                <w:color w:val="1B1C1D"/>
              </w:rPr>
              <w:t>82%</w:t>
            </w:r>
          </w:p>
        </w:tc>
      </w:tr>
    </w:tbl>
    <w:p w:rsidR="0000535E" w:rsidRDefault="0000535E">
      <w:pPr>
        <w:pStyle w:val="BodyText"/>
        <w:rPr>
          <w:lang w:val="en-US"/>
        </w:rPr>
      </w:pPr>
    </w:p>
    <w:p w:rsidR="005966C6" w:rsidRPr="005966C6" w:rsidRDefault="005966C6" w:rsidP="006B5D0D">
      <w:pPr>
        <w:pStyle w:val="BodyText"/>
        <w:spacing w:before="120" w:after="120" w:line="276" w:lineRule="auto"/>
        <w:ind w:left="1134" w:right="1134" w:firstLine="567"/>
        <w:rPr>
          <w:lang w:val="en-US"/>
        </w:rPr>
      </w:pPr>
      <w:r w:rsidRPr="005966C6">
        <w:rPr>
          <w:lang w:val="en-US"/>
        </w:rPr>
        <w:t>The table presents the estimated annual coverage percentages for the first dose (MCV1) and second dose (MCV2) of the measles-containing vaccine from 2015 to 2021.</w:t>
      </w:r>
    </w:p>
    <w:p w:rsidR="005966C6" w:rsidRPr="005966C6" w:rsidRDefault="005966C6" w:rsidP="006B5D0D">
      <w:pPr>
        <w:pStyle w:val="BodyText"/>
        <w:numPr>
          <w:ilvl w:val="0"/>
          <w:numId w:val="8"/>
        </w:numPr>
        <w:spacing w:before="120" w:after="120" w:line="276" w:lineRule="auto"/>
        <w:ind w:left="1134" w:right="1134" w:firstLine="567"/>
        <w:rPr>
          <w:lang w:val="en-US"/>
        </w:rPr>
      </w:pPr>
      <w:r w:rsidRPr="005966C6">
        <w:rPr>
          <w:b/>
          <w:bCs/>
          <w:lang w:val="en-US"/>
        </w:rPr>
        <w:t>MCV1 Coverage:</w:t>
      </w:r>
      <w:r w:rsidRPr="005966C6">
        <w:rPr>
          <w:lang w:val="en-US"/>
        </w:rPr>
        <w:t xml:space="preserve"> Data is available for most years, showing generally high coverage, with a peak of 95% in 2019. Coverage slightly declined to 89% in 2020 and remained the same in 2021.</w:t>
      </w:r>
    </w:p>
    <w:p w:rsidR="005966C6" w:rsidRPr="005966C6" w:rsidRDefault="005966C6" w:rsidP="006B5D0D">
      <w:pPr>
        <w:pStyle w:val="BodyText"/>
        <w:numPr>
          <w:ilvl w:val="0"/>
          <w:numId w:val="8"/>
        </w:numPr>
        <w:spacing w:before="120" w:after="120" w:line="276" w:lineRule="auto"/>
        <w:ind w:left="1134" w:right="1134" w:firstLine="567"/>
        <w:rPr>
          <w:lang w:val="en-US"/>
        </w:rPr>
      </w:pPr>
      <w:r w:rsidRPr="005966C6">
        <w:rPr>
          <w:b/>
          <w:bCs/>
          <w:lang w:val="en-US"/>
        </w:rPr>
        <w:t>MCV2 Coverage:</w:t>
      </w:r>
      <w:r w:rsidRPr="005966C6">
        <w:rPr>
          <w:lang w:val="en-US"/>
        </w:rPr>
        <w:t xml:space="preserve"> Data is more limited, with values only available for 2019 (84%) and 2021 (82%). Other years are unspecified.</w:t>
      </w:r>
    </w:p>
    <w:p w:rsidR="005966C6" w:rsidRPr="005966C6" w:rsidRDefault="005966C6" w:rsidP="006B5D0D">
      <w:pPr>
        <w:pStyle w:val="BodyText"/>
        <w:numPr>
          <w:ilvl w:val="0"/>
          <w:numId w:val="8"/>
        </w:numPr>
        <w:spacing w:before="120" w:after="120" w:line="276" w:lineRule="auto"/>
        <w:ind w:left="1134" w:right="1134" w:firstLine="567"/>
        <w:rPr>
          <w:lang w:val="en-US"/>
        </w:rPr>
      </w:pPr>
      <w:r w:rsidRPr="005966C6">
        <w:rPr>
          <w:b/>
          <w:bCs/>
          <w:lang w:val="en-US"/>
        </w:rPr>
        <w:t>Missing Data:</w:t>
      </w:r>
      <w:r w:rsidRPr="005966C6">
        <w:rPr>
          <w:lang w:val="en-US"/>
        </w:rPr>
        <w:t xml:space="preserve"> Several years, including 2016–2018, have unspecified values for both MCV1 and MCV2, indicating a lack of reported or available data for those years.</w:t>
      </w:r>
    </w:p>
    <w:p w:rsidR="005966C6" w:rsidRPr="005966C6" w:rsidRDefault="005966C6" w:rsidP="006B5D0D">
      <w:pPr>
        <w:pStyle w:val="BodyText"/>
        <w:spacing w:before="120" w:after="120" w:line="276" w:lineRule="auto"/>
        <w:ind w:left="1134" w:right="1134" w:firstLine="567"/>
        <w:rPr>
          <w:lang w:val="en-US"/>
        </w:rPr>
      </w:pPr>
      <w:r w:rsidRPr="005966C6">
        <w:rPr>
          <w:lang w:val="en-US"/>
        </w:rPr>
        <w:t>This table helps to track trends and identify gaps in measles vaccination coverage over time, which are critical for public health monitoring and planning.</w:t>
      </w:r>
    </w:p>
    <w:p w:rsidR="005966C6" w:rsidRPr="00F56A40" w:rsidRDefault="005966C6">
      <w:pPr>
        <w:pStyle w:val="BodyText"/>
        <w:rPr>
          <w:lang w:val="en-US"/>
        </w:rPr>
      </w:pPr>
    </w:p>
    <w:p w:rsidR="0000535E" w:rsidRDefault="0000535E">
      <w:pPr>
        <w:pStyle w:val="BodyText"/>
        <w:spacing w:before="8"/>
      </w:pPr>
    </w:p>
    <w:p w:rsidR="00F56A40" w:rsidRPr="007F5212" w:rsidRDefault="00F56A40" w:rsidP="007F5212">
      <w:pPr>
        <w:pStyle w:val="Heading2"/>
        <w:spacing w:before="0" w:after="120" w:line="275" w:lineRule="auto"/>
        <w:ind w:left="720"/>
        <w:rPr>
          <w:rFonts w:ascii="Times New Roman" w:eastAsia="Google Sans" w:hAnsi="Times New Roman" w:cs="Times New Roman"/>
          <w:color w:val="1B1C1D"/>
          <w:sz w:val="24"/>
          <w:szCs w:val="24"/>
          <w:lang w:val="en-US"/>
        </w:rPr>
      </w:pPr>
      <w:bookmarkStart w:id="0" w:name="References"/>
      <w:bookmarkEnd w:id="0"/>
      <w:r w:rsidRPr="00F56A40">
        <w:rPr>
          <w:rFonts w:ascii="Times New Roman" w:eastAsia="Google Sans" w:hAnsi="Times New Roman" w:cs="Times New Roman"/>
          <w:color w:val="1B1C1D"/>
          <w:sz w:val="24"/>
          <w:szCs w:val="24"/>
        </w:rPr>
        <w:t>The Resurgence: Post-Pandemic Outbreaks and Their Drivers</w:t>
      </w:r>
    </w:p>
    <w:p w:rsidR="00F56A40" w:rsidRDefault="00F56A40" w:rsidP="007F5212">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After years of steady progress, the global landscape of measles control was profoundly disrupted by the COVID-19 pandemic. In India, this disruption acted as a catalyst, reversing hard-won gains in vaccination coverage and creating the conditions for a major resurgence of the disease. The large-scale outbreaks that erupted in 2022 served as a stark demonstration of the fragility of the nation's immunization program and provided critical insights into the drivers of measles transmission in the modern era.</w:t>
      </w:r>
    </w:p>
    <w:p w:rsidR="007F5212" w:rsidRPr="005B7167" w:rsidRDefault="007F5212" w:rsidP="007F5212">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1B1C1D"/>
        </w:rPr>
      </w:pPr>
    </w:p>
    <w:p w:rsidR="00F56A40" w:rsidRPr="007F5212" w:rsidRDefault="00F56A40" w:rsidP="007F5212">
      <w:pPr>
        <w:pStyle w:val="Heading3"/>
        <w:spacing w:before="0" w:after="120" w:line="275" w:lineRule="auto"/>
        <w:ind w:left="720"/>
        <w:rPr>
          <w:rFonts w:ascii="Times New Roman" w:eastAsia="Google Sans" w:hAnsi="Times New Roman" w:cs="Times New Roman"/>
          <w:color w:val="1B1C1D"/>
          <w:lang w:val="en-US"/>
        </w:rPr>
      </w:pPr>
      <w:r w:rsidRPr="005B7167">
        <w:rPr>
          <w:rFonts w:ascii="Times New Roman" w:eastAsia="Google Sans" w:hAnsi="Times New Roman" w:cs="Times New Roman"/>
          <w:color w:val="1B1C1D"/>
        </w:rPr>
        <w:t>The COVID-19 Pandemic: A Catalyst for Crisis</w:t>
      </w: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The onset of the COVID-19 pandemic in 2020 triggered widespread lockdowns and a massive diversion of public health resources, severely hampering routine immunization services across India.</w:t>
      </w:r>
      <w:r w:rsidRPr="005B7167">
        <w:rPr>
          <w:rFonts w:ascii="Times New Roman" w:eastAsia="Google Sans Text" w:hAnsi="Times New Roman" w:cs="Times New Roman"/>
          <w:color w:val="444746"/>
          <w:sz w:val="24"/>
          <w:szCs w:val="24"/>
          <w:vertAlign w:val="superscript"/>
        </w:rPr>
        <w:t>4</w:t>
      </w:r>
      <w:r w:rsidRPr="005B7167">
        <w:rPr>
          <w:rFonts w:ascii="Times New Roman" w:eastAsia="Google Sans Text" w:hAnsi="Times New Roman" w:cs="Times New Roman"/>
          <w:color w:val="1B1C1D"/>
        </w:rPr>
        <w:t xml:space="preserve"> The impact </w:t>
      </w:r>
      <w:proofErr w:type="gramStart"/>
      <w:r w:rsidRPr="005B7167">
        <w:rPr>
          <w:rFonts w:ascii="Times New Roman" w:eastAsia="Google Sans Text" w:hAnsi="Times New Roman" w:cs="Times New Roman"/>
          <w:color w:val="1B1C1D"/>
        </w:rPr>
        <w:t>was</w:t>
      </w:r>
      <w:proofErr w:type="gramEnd"/>
      <w:r w:rsidRPr="005B7167">
        <w:rPr>
          <w:rFonts w:ascii="Times New Roman" w:eastAsia="Google Sans Text" w:hAnsi="Times New Roman" w:cs="Times New Roman"/>
          <w:color w:val="1B1C1D"/>
        </w:rPr>
        <w:t xml:space="preserve"> immediate and quantifiable. National MCV1 coverage, which had reached a commendable peak of 95% in 2019, fell to 89% in 2020 and remained there in 2021. Similarly, MCV2 coverage declined from 84% to 82% over the same period.</w:t>
      </w:r>
      <w:r w:rsidRPr="005B7167">
        <w:rPr>
          <w:rFonts w:ascii="Times New Roman" w:eastAsia="Google Sans Text" w:hAnsi="Times New Roman" w:cs="Times New Roman"/>
          <w:color w:val="444746"/>
          <w:sz w:val="24"/>
          <w:szCs w:val="24"/>
          <w:vertAlign w:val="superscript"/>
        </w:rPr>
        <w:t>5</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While</w:t>
      </w:r>
      <w:proofErr w:type="gramEnd"/>
      <w:r w:rsidRPr="005B7167">
        <w:rPr>
          <w:rFonts w:ascii="Times New Roman" w:eastAsia="Google Sans Text" w:hAnsi="Times New Roman" w:cs="Times New Roman"/>
          <w:color w:val="1B1C1D"/>
        </w:rPr>
        <w:t xml:space="preserve"> these percentage drops may seem modest, in a country with India's birth cohort, they translate into a massive number of unprotected children. It is estimated that this disruption resulted in nearly 3 million additional children in India being left without any measles vaccine doses, creating an enormous immunity gap.</w:t>
      </w:r>
      <w:r w:rsidRPr="005B7167">
        <w:rPr>
          <w:rFonts w:ascii="Times New Roman" w:eastAsia="Google Sans Text" w:hAnsi="Times New Roman" w:cs="Times New Roman"/>
          <w:color w:val="444746"/>
          <w:sz w:val="24"/>
          <w:szCs w:val="24"/>
          <w:vertAlign w:val="superscript"/>
        </w:rPr>
        <w:t>14</w:t>
      </w:r>
    </w:p>
    <w:p w:rsidR="00F56A40" w:rsidRPr="005B7167" w:rsidRDefault="00F56A40" w:rsidP="007F5212">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The direct link between the pandemic and missed vaccinations was confirmed by on-the-ground </w:t>
      </w:r>
      <w:r w:rsidRPr="005B7167">
        <w:rPr>
          <w:rFonts w:ascii="Times New Roman" w:eastAsia="Google Sans Text" w:hAnsi="Times New Roman" w:cs="Times New Roman"/>
          <w:color w:val="1B1C1D"/>
        </w:rPr>
        <w:lastRenderedPageBreak/>
        <w:t xml:space="preserve">investigations. A case-control study conducted during a measles outbreak in </w:t>
      </w:r>
      <w:proofErr w:type="spellStart"/>
      <w:r w:rsidRPr="005B7167">
        <w:rPr>
          <w:rFonts w:ascii="Times New Roman" w:eastAsia="Google Sans Text" w:hAnsi="Times New Roman" w:cs="Times New Roman"/>
          <w:color w:val="1B1C1D"/>
        </w:rPr>
        <w:t>Pune</w:t>
      </w:r>
      <w:proofErr w:type="spellEnd"/>
      <w:r w:rsidRPr="005B7167">
        <w:rPr>
          <w:rFonts w:ascii="Times New Roman" w:eastAsia="Google Sans Text" w:hAnsi="Times New Roman" w:cs="Times New Roman"/>
          <w:color w:val="1B1C1D"/>
        </w:rPr>
        <w:t xml:space="preserve"> found that the COVID-19 lockdown was the single most common reason cited by parents (29.3%) for their children being unimmunized.</w:t>
      </w:r>
      <w:r w:rsidRPr="005B7167">
        <w:rPr>
          <w:rFonts w:ascii="Times New Roman" w:eastAsia="Google Sans Text" w:hAnsi="Times New Roman" w:cs="Times New Roman"/>
          <w:color w:val="444746"/>
          <w:sz w:val="24"/>
          <w:szCs w:val="24"/>
          <w:vertAlign w:val="superscript"/>
        </w:rPr>
        <w:t>23</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The</w:t>
      </w:r>
      <w:proofErr w:type="gramEnd"/>
      <w:r w:rsidRPr="005B7167">
        <w:rPr>
          <w:rFonts w:ascii="Times New Roman" w:eastAsia="Google Sans Text" w:hAnsi="Times New Roman" w:cs="Times New Roman"/>
          <w:color w:val="1B1C1D"/>
        </w:rPr>
        <w:t xml:space="preserve"> pandemic effectively created a large, geographically widespread cohort of susceptible children, setting the stage for explosive outbreaks once social mixing resumed.</w:t>
      </w:r>
    </w:p>
    <w:p w:rsidR="00F56A40" w:rsidRDefault="00F56A40" w:rsidP="007F5212">
      <w:pPr>
        <w:pStyle w:val="Heading3"/>
        <w:spacing w:before="120" w:after="120" w:line="276" w:lineRule="auto"/>
        <w:ind w:left="1134" w:right="1134" w:firstLine="567"/>
        <w:jc w:val="both"/>
        <w:rPr>
          <w:rFonts w:ascii="Times New Roman" w:eastAsia="Google Sans" w:hAnsi="Times New Roman" w:cs="Times New Roman"/>
          <w:color w:val="1B1C1D"/>
          <w:lang w:val="en-US"/>
        </w:rPr>
      </w:pPr>
      <w:r w:rsidRPr="005B7167">
        <w:rPr>
          <w:rFonts w:ascii="Times New Roman" w:eastAsia="Google Sans" w:hAnsi="Times New Roman" w:cs="Times New Roman"/>
          <w:color w:val="1B1C1D"/>
        </w:rPr>
        <w:t>Case Study: The 2022 Outbreaks</w:t>
      </w:r>
    </w:p>
    <w:p w:rsidR="007F5212" w:rsidRPr="007F5212" w:rsidRDefault="007F5212" w:rsidP="007F5212">
      <w:pPr>
        <w:rPr>
          <w:rFonts w:eastAsia="Google Sans"/>
          <w:lang w:val="en-US"/>
        </w:rPr>
      </w:pP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The inevitable consequence of this growing immunity gap materialized in 2022, a year that saw a dramatic resurgence of measles across India. The country reported a total of 61,562 cases and, between November 2022 and April 2023, led the world in the number of measles outbreaks.</w:t>
      </w:r>
      <w:r w:rsidRPr="005B7167">
        <w:rPr>
          <w:rFonts w:ascii="Times New Roman" w:eastAsia="Google Sans Text" w:hAnsi="Times New Roman" w:cs="Times New Roman"/>
          <w:color w:val="444746"/>
          <w:sz w:val="24"/>
          <w:szCs w:val="24"/>
          <w:vertAlign w:val="superscript"/>
        </w:rPr>
        <w:t>4</w:t>
      </w:r>
      <w:r w:rsidRPr="005B7167">
        <w:rPr>
          <w:rFonts w:ascii="Times New Roman" w:eastAsia="Google Sans Text" w:hAnsi="Times New Roman" w:cs="Times New Roman"/>
          <w:color w:val="1B1C1D"/>
        </w:rPr>
        <w:t xml:space="preserve"> From July to December 2022 alone, 32,069 suspected and confirmed cases were reported to the WHO.</w:t>
      </w:r>
      <w:r w:rsidRPr="005B7167">
        <w:rPr>
          <w:rFonts w:ascii="Times New Roman" w:eastAsia="Google Sans Text" w:hAnsi="Times New Roman" w:cs="Times New Roman"/>
          <w:color w:val="444746"/>
          <w:sz w:val="24"/>
          <w:szCs w:val="24"/>
          <w:vertAlign w:val="superscript"/>
        </w:rPr>
        <w:t>14</w:t>
      </w: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The state of Maharashtra emerged as the epicenter of this resurgence, consistently reporting the highest number of cases.</w:t>
      </w:r>
      <w:r w:rsidRPr="005B7167">
        <w:rPr>
          <w:rFonts w:ascii="Times New Roman" w:eastAsia="Google Sans Text" w:hAnsi="Times New Roman" w:cs="Times New Roman"/>
          <w:color w:val="444746"/>
          <w:sz w:val="24"/>
          <w:szCs w:val="24"/>
          <w:vertAlign w:val="superscript"/>
        </w:rPr>
        <w:t>14</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The</w:t>
      </w:r>
      <w:proofErr w:type="gramEnd"/>
      <w:r w:rsidRPr="005B7167">
        <w:rPr>
          <w:rFonts w:ascii="Times New Roman" w:eastAsia="Google Sans Text" w:hAnsi="Times New Roman" w:cs="Times New Roman"/>
          <w:color w:val="1B1C1D"/>
        </w:rPr>
        <w:t xml:space="preserve"> capital city, Mumbai, became a particular hotspot. Investigations within the city identified 601 confirmed cases and 18 measles-linked deaths during the outbreak period.</w:t>
      </w:r>
      <w:r w:rsidRPr="005B7167">
        <w:rPr>
          <w:rFonts w:ascii="Times New Roman" w:eastAsia="Google Sans Text" w:hAnsi="Times New Roman" w:cs="Times New Roman"/>
          <w:color w:val="444746"/>
          <w:sz w:val="24"/>
          <w:szCs w:val="24"/>
          <w:vertAlign w:val="superscript"/>
        </w:rPr>
        <w:t>14</w:t>
      </w:r>
      <w:r w:rsidRPr="005B7167">
        <w:rPr>
          <w:rFonts w:ascii="Times New Roman" w:eastAsia="Google Sans Text" w:hAnsi="Times New Roman" w:cs="Times New Roman"/>
          <w:color w:val="1B1C1D"/>
        </w:rPr>
        <w:t xml:space="preserve"> The situation was exacerbated by a catastrophic decline in local vaccination coverage; in just one year, the two-dose MR vaccine coverage in Mumbai plummeted from 82% to 41%.</w:t>
      </w:r>
      <w:r w:rsidRPr="005B7167">
        <w:rPr>
          <w:rFonts w:ascii="Times New Roman" w:eastAsia="Google Sans Text" w:hAnsi="Times New Roman" w:cs="Times New Roman"/>
          <w:color w:val="444746"/>
          <w:sz w:val="24"/>
          <w:szCs w:val="24"/>
          <w:vertAlign w:val="superscript"/>
        </w:rPr>
        <w:t>14</w:t>
      </w: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 xml:space="preserve">The public health response in Mumbai was swift and intensive. The </w:t>
      </w:r>
      <w:proofErr w:type="spellStart"/>
      <w:r w:rsidRPr="005B7167">
        <w:rPr>
          <w:rFonts w:ascii="Times New Roman" w:eastAsia="Google Sans Text" w:hAnsi="Times New Roman" w:cs="Times New Roman"/>
          <w:color w:val="1B1C1D"/>
        </w:rPr>
        <w:t>Brihanmumbai</w:t>
      </w:r>
      <w:proofErr w:type="spellEnd"/>
      <w:r w:rsidRPr="005B7167">
        <w:rPr>
          <w:rFonts w:ascii="Times New Roman" w:eastAsia="Google Sans Text" w:hAnsi="Times New Roman" w:cs="Times New Roman"/>
          <w:color w:val="1B1C1D"/>
        </w:rPr>
        <w:t xml:space="preserve"> Municipal Corporation initiated active case finding through door-to-door surveys, which were crucial in identifying clusters of cases, particularly in the city's densely populated slum areas.</w:t>
      </w:r>
      <w:r w:rsidRPr="005B7167">
        <w:rPr>
          <w:rFonts w:ascii="Times New Roman" w:eastAsia="Google Sans Text" w:hAnsi="Times New Roman" w:cs="Times New Roman"/>
          <w:color w:val="444746"/>
          <w:sz w:val="24"/>
          <w:szCs w:val="24"/>
          <w:vertAlign w:val="superscript"/>
        </w:rPr>
        <w:t>14</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In</w:t>
      </w:r>
      <w:proofErr w:type="gramEnd"/>
      <w:r w:rsidRPr="005B7167">
        <w:rPr>
          <w:rFonts w:ascii="Times New Roman" w:eastAsia="Google Sans Text" w:hAnsi="Times New Roman" w:cs="Times New Roman"/>
          <w:color w:val="1B1C1D"/>
        </w:rPr>
        <w:t xml:space="preserve"> parallel, authorities established isolation wards in hospitals, enhanced surveillance systems to track cases and vaccine dropouts, and launched emergency vaccination sessions. These reactive campaigns successfully immunized nearly 100,000 eligible children between 9 months and 5 years of age in a short period, demonstrating the capacity for rapid response when the system is mobilized.</w:t>
      </w:r>
      <w:r w:rsidRPr="005B7167">
        <w:rPr>
          <w:rFonts w:ascii="Times New Roman" w:eastAsia="Google Sans Text" w:hAnsi="Times New Roman" w:cs="Times New Roman"/>
          <w:color w:val="444746"/>
          <w:sz w:val="24"/>
          <w:szCs w:val="24"/>
          <w:vertAlign w:val="superscript"/>
        </w:rPr>
        <w:t>14</w:t>
      </w: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The concentration of cases in Mumbai's slums highlights these environments as critical amplification hubs for infectious diseases. Urban slums are characterized by overcrowding, which facilitates the rapid airborne transmission of the measles virus, and are often home to marginalized and migrant populations who may have limited access to or trust in formal healthcare services.</w:t>
      </w:r>
      <w:r w:rsidRPr="005B7167">
        <w:rPr>
          <w:rFonts w:ascii="Times New Roman" w:eastAsia="Google Sans Text" w:hAnsi="Times New Roman" w:cs="Times New Roman"/>
          <w:color w:val="444746"/>
          <w:sz w:val="24"/>
          <w:szCs w:val="24"/>
          <w:vertAlign w:val="superscript"/>
        </w:rPr>
        <w:t>6</w:t>
      </w:r>
      <w:r w:rsidRPr="005B7167">
        <w:rPr>
          <w:rFonts w:ascii="Times New Roman" w:eastAsia="Google Sans Text" w:hAnsi="Times New Roman" w:cs="Times New Roman"/>
          <w:color w:val="1B1C1D"/>
        </w:rPr>
        <w:t xml:space="preserve"> The 2022 resurgence was not a random event; it predictably ignited in these pre-existing pockets of high susceptibility where a combination of high population density and low vaccination coverage created a perfect storm for transmission. This underscores the necessity for national elimination strategies to incorporate micro-level plans specifically tailored to the unique challenges of high-density urban poor settings.</w:t>
      </w:r>
    </w:p>
    <w:p w:rsidR="00F56A40" w:rsidRPr="005B7167" w:rsidRDefault="00F56A40" w:rsidP="00F56A40">
      <w:pPr>
        <w:pStyle w:val="Heading1"/>
        <w:rPr>
          <w:rFonts w:eastAsia="Google Sans Text"/>
        </w:rPr>
      </w:pPr>
    </w:p>
    <w:p w:rsidR="00F56A40" w:rsidRPr="005B7167" w:rsidRDefault="00F56A40" w:rsidP="00F56A40">
      <w:pPr>
        <w:pStyle w:val="Heading1"/>
        <w:rPr>
          <w:rFonts w:eastAsia="Google Sans"/>
        </w:rPr>
      </w:pPr>
      <w:r w:rsidRPr="005B7167">
        <w:rPr>
          <w:rFonts w:eastAsia="Google Sans"/>
        </w:rPr>
        <w:t>Unpacking the Risk Factors for Outbreaks</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F56A4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 xml:space="preserve">Investigations into the 2022 outbreaks and others have consistently reaffirmed the central role of immunization status. The case-control study in </w:t>
      </w:r>
      <w:proofErr w:type="spellStart"/>
      <w:r w:rsidRPr="005B7167">
        <w:rPr>
          <w:rFonts w:ascii="Times New Roman" w:eastAsia="Google Sans Text" w:hAnsi="Times New Roman" w:cs="Times New Roman"/>
          <w:color w:val="1B1C1D"/>
        </w:rPr>
        <w:t>Pune</w:t>
      </w:r>
      <w:proofErr w:type="spellEnd"/>
      <w:r w:rsidRPr="005B7167">
        <w:rPr>
          <w:rFonts w:ascii="Times New Roman" w:eastAsia="Google Sans Text" w:hAnsi="Times New Roman" w:cs="Times New Roman"/>
          <w:color w:val="1B1C1D"/>
        </w:rPr>
        <w:t xml:space="preserve"> provided clear quantitative evidence: children who had received zero doses of the MR vaccine had an odds ratio of 3.09 ($95\%$ CI: $2.37-4.037$) for contracting measles compared to vaccinated children. Even those who were partially immunized with a single dose had a significantly elevated risk, with an odds ratio of 2.027 ($95\%$ CI: $1.328-3.096$).</w:t>
      </w:r>
      <w:r w:rsidRPr="005B7167">
        <w:rPr>
          <w:rFonts w:ascii="Times New Roman" w:eastAsia="Google Sans Text" w:hAnsi="Times New Roman" w:cs="Times New Roman"/>
          <w:color w:val="444746"/>
          <w:sz w:val="24"/>
          <w:szCs w:val="24"/>
          <w:vertAlign w:val="superscript"/>
        </w:rPr>
        <w:t>23</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The</w:t>
      </w:r>
      <w:proofErr w:type="gramEnd"/>
      <w:r w:rsidRPr="005B7167">
        <w:rPr>
          <w:rFonts w:ascii="Times New Roman" w:eastAsia="Google Sans Text" w:hAnsi="Times New Roman" w:cs="Times New Roman"/>
          <w:color w:val="1B1C1D"/>
        </w:rPr>
        <w:t xml:space="preserve"> study unequivocally concluded that under-immunization was the primary cause of the outbreak. Other significant risk factors identified included lower levels of parental education and a lack of Vitamin A supplementation, which is crucial for mitigating the severity of measles.</w:t>
      </w:r>
      <w:r w:rsidRPr="005B7167">
        <w:rPr>
          <w:rFonts w:ascii="Times New Roman" w:eastAsia="Google Sans Text" w:hAnsi="Times New Roman" w:cs="Times New Roman"/>
          <w:color w:val="444746"/>
          <w:sz w:val="24"/>
          <w:szCs w:val="24"/>
          <w:vertAlign w:val="superscript"/>
        </w:rPr>
        <w:t>23</w:t>
      </w:r>
    </w:p>
    <w:p w:rsidR="00F56A40" w:rsidRPr="005B7167" w:rsidRDefault="00F56A40" w:rsidP="00F56A4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The speed and scale of the 2022 resurgence also offer a broader lesson about the nature of India's immunization program. The fact that the system, which had achieved 95% MCV1 coverage in 2019, could be so quickly overwhelmed following a single systemic shock reveals a fundamental lack of resilience. A truly resilient system would possess robust mechanisms—such as comprehensive tracking and recall systems—to rapidly identify and catch up with children who miss doses during a crisis. </w:t>
      </w:r>
      <w:proofErr w:type="gramStart"/>
      <w:r w:rsidRPr="005B7167">
        <w:rPr>
          <w:rFonts w:ascii="Times New Roman" w:eastAsia="Google Sans Text" w:hAnsi="Times New Roman" w:cs="Times New Roman"/>
          <w:color w:val="1B1C1D"/>
        </w:rPr>
        <w:t xml:space="preserve">The occurrence of </w:t>
      </w:r>
      <w:r w:rsidRPr="005B7167">
        <w:rPr>
          <w:rFonts w:ascii="Times New Roman" w:eastAsia="Google Sans Text" w:hAnsi="Times New Roman" w:cs="Times New Roman"/>
          <w:color w:val="1B1C1D"/>
        </w:rPr>
        <w:lastRenderedPageBreak/>
        <w:t>such a massive outbreak so soon after a relatively modest decline in national coverage suggests that the baseline level of population immunity was fragile and highly dependent on the continuous, uninterrupted functioning of the health system.</w:t>
      </w:r>
      <w:proofErr w:type="gramEnd"/>
      <w:r w:rsidRPr="005B7167">
        <w:rPr>
          <w:rFonts w:ascii="Times New Roman" w:eastAsia="Google Sans Text" w:hAnsi="Times New Roman" w:cs="Times New Roman"/>
          <w:color w:val="1B1C1D"/>
        </w:rPr>
        <w:t xml:space="preserve"> The 2022 outbreaks thus serve as a powerful case study, demonstrating that achieving high vaccination coverage is not a one-time goal but requires the construction of a system that can sustain that coverage even when faced with profound external stress.</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Text" w:hAnsi="Times New Roman" w:cs="Times New Roman"/>
          <w:color w:val="1B1C1D"/>
        </w:rPr>
      </w:pPr>
    </w:p>
    <w:p w:rsidR="00F56A40" w:rsidRPr="005B7167" w:rsidRDefault="00F56A40" w:rsidP="00F56A40">
      <w:pPr>
        <w:pStyle w:val="Heading1"/>
        <w:rPr>
          <w:rFonts w:eastAsia="Google Sans"/>
        </w:rPr>
      </w:pPr>
      <w:r w:rsidRPr="005B7167">
        <w:rPr>
          <w:rFonts w:eastAsia="Google Sans"/>
        </w:rPr>
        <w:t>The Human Factor: Socio-Demographic Determinants and Systemic Challenges</w:t>
      </w:r>
    </w:p>
    <w:p w:rsidR="00F56A40" w:rsidRPr="005B7167" w:rsidRDefault="00F56A40" w:rsidP="00F56A40">
      <w:pPr>
        <w:pStyle w:val="Heading1"/>
        <w:rPr>
          <w:rFonts w:eastAsia="Google Sans"/>
        </w:rPr>
      </w:pPr>
    </w:p>
    <w:p w:rsidR="00F56A40" w:rsidRPr="005B7167" w:rsidRDefault="00F56A40" w:rsidP="00F56A4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Achieving measles elimination requires more than just effective vaccines and national strategies; it requires navigating a complex landscape of human behavior, social structures, and systemic barriers. In India, the failure to reach every child with two doses of the measles vaccine is not random. It is systematically patterned along lines of socio-economic status, education, religion, and geography. These factors create a tapestry of vulnerability, where the children most at risk of measles are often those who are already the most marginalized. Understanding these determinants is crucial for designing equitable and effective public health interventions.</w:t>
      </w:r>
    </w:p>
    <w:p w:rsidR="00F56A40" w:rsidRPr="005B7167" w:rsidRDefault="00F56A40" w:rsidP="00F56A4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1B1C1D"/>
        </w:rPr>
      </w:pPr>
    </w:p>
    <w:p w:rsidR="00F56A40" w:rsidRPr="005B7167" w:rsidRDefault="00F56A40" w:rsidP="00F56A40">
      <w:pPr>
        <w:pStyle w:val="Heading1"/>
        <w:rPr>
          <w:rFonts w:eastAsia="Google Sans"/>
        </w:rPr>
      </w:pPr>
      <w:r w:rsidRPr="005B7167">
        <w:rPr>
          <w:rFonts w:eastAsia="Google Sans"/>
        </w:rPr>
        <w:t>Mapping the Landscape of Vulnerability</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AF68D6">
      <w:pPr>
        <w:pStyle w:val="normal0"/>
        <w:pBdr>
          <w:top w:val="nil"/>
          <w:left w:val="nil"/>
          <w:bottom w:val="nil"/>
          <w:right w:val="nil"/>
          <w:between w:val="nil"/>
        </w:pBdr>
        <w:spacing w:beforeLines="120" w:after="12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The National Family Health Survey (NFHS-5), conducted from 2019-21, provides a granular, nationwide dataset that allows for a detailed mapping of the socio-demographic factors associated with under-vaccination. The analysis of this data reveals stark inequities in measles vaccine coverage </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w:t>
      </w:r>
    </w:p>
    <w:p w:rsidR="00F56A40" w:rsidRPr="005B7167" w:rsidRDefault="00F56A40" w:rsidP="00AF68D6">
      <w:pPr>
        <w:pStyle w:val="normal0"/>
        <w:numPr>
          <w:ilvl w:val="0"/>
          <w:numId w:val="2"/>
        </w:numPr>
        <w:pBdr>
          <w:top w:val="nil"/>
          <w:left w:val="nil"/>
          <w:bottom w:val="nil"/>
          <w:right w:val="nil"/>
          <w:between w:val="nil"/>
        </w:pBdr>
        <w:spacing w:beforeLines="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Wealth:</w:t>
      </w:r>
      <w:r w:rsidRPr="005B7167">
        <w:rPr>
          <w:rFonts w:ascii="Times New Roman" w:eastAsia="Google Sans Text" w:hAnsi="Times New Roman" w:cs="Times New Roman"/>
          <w:color w:val="1B1C1D"/>
        </w:rPr>
        <w:t xml:space="preserve"> Socio-economic status is a powerful predictor of vaccination status. Children from the poorest households are nearly twice as likely to be "zero-dose" (15.9%) as children from the richest households (8.8%).</w:t>
      </w:r>
      <w:r w:rsidRPr="005B7167">
        <w:rPr>
          <w:rFonts w:ascii="Times New Roman" w:eastAsia="Google Sans Text" w:hAnsi="Times New Roman" w:cs="Times New Roman"/>
          <w:color w:val="444746"/>
          <w:sz w:val="24"/>
          <w:szCs w:val="24"/>
          <w:vertAlign w:val="superscript"/>
        </w:rPr>
        <w:t>3</w:t>
      </w:r>
    </w:p>
    <w:p w:rsidR="00F56A40" w:rsidRPr="005B7167" w:rsidRDefault="00F56A40" w:rsidP="00AF68D6">
      <w:pPr>
        <w:pStyle w:val="normal0"/>
        <w:numPr>
          <w:ilvl w:val="0"/>
          <w:numId w:val="2"/>
        </w:numPr>
        <w:pBdr>
          <w:top w:val="nil"/>
          <w:left w:val="nil"/>
          <w:bottom w:val="nil"/>
          <w:right w:val="nil"/>
          <w:between w:val="nil"/>
        </w:pBdr>
        <w:spacing w:beforeLines="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Maternal Education:</w:t>
      </w:r>
      <w:r w:rsidRPr="005B7167">
        <w:rPr>
          <w:rFonts w:ascii="Times New Roman" w:eastAsia="Google Sans Text" w:hAnsi="Times New Roman" w:cs="Times New Roman"/>
          <w:color w:val="1B1C1D"/>
        </w:rPr>
        <w:t xml:space="preserve"> A mother's education is one of the most significant determinants. The prevalence of zero-dose children is 17.8% among mothers with no schooling, a figure that drops by more than half to 8.8% for mothers with 9-12 years of education.</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 xml:space="preserve"> This strong association is a consistent finding across multiple studies, highlighting the role of maternal empowerment and health literacy.</w:t>
      </w:r>
      <w:r w:rsidRPr="005B7167">
        <w:rPr>
          <w:rFonts w:ascii="Times New Roman" w:eastAsia="Google Sans Text" w:hAnsi="Times New Roman" w:cs="Times New Roman"/>
          <w:color w:val="444746"/>
          <w:sz w:val="24"/>
          <w:szCs w:val="24"/>
          <w:vertAlign w:val="superscript"/>
        </w:rPr>
        <w:t>21</w:t>
      </w:r>
    </w:p>
    <w:p w:rsidR="00F56A40" w:rsidRPr="005B7167" w:rsidRDefault="00F56A40" w:rsidP="00AF68D6">
      <w:pPr>
        <w:pStyle w:val="normal0"/>
        <w:numPr>
          <w:ilvl w:val="0"/>
          <w:numId w:val="2"/>
        </w:numPr>
        <w:pBdr>
          <w:top w:val="nil"/>
          <w:left w:val="nil"/>
          <w:bottom w:val="nil"/>
          <w:right w:val="nil"/>
          <w:between w:val="nil"/>
        </w:pBdr>
        <w:spacing w:beforeLines="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Religion and Social Group:</w:t>
      </w:r>
      <w:r w:rsidRPr="005B7167">
        <w:rPr>
          <w:rFonts w:ascii="Times New Roman" w:eastAsia="Google Sans Text" w:hAnsi="Times New Roman" w:cs="Times New Roman"/>
          <w:color w:val="1B1C1D"/>
        </w:rPr>
        <w:t xml:space="preserve"> Significant disparities exist along religious and social lines. The zero-dose rate among Muslim children (16.6%) is substantially higher than among Hindu children (10.5%).</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 xml:space="preserve"> This finding is corroborated by local data from Maharashtra, which showed vaccination coverage to be 72% in Muslim families compared to 87% in Hindu and Buddhist families.</w:t>
      </w:r>
      <w:r w:rsidRPr="005B7167">
        <w:rPr>
          <w:rFonts w:ascii="Times New Roman" w:eastAsia="Google Sans Text" w:hAnsi="Times New Roman" w:cs="Times New Roman"/>
          <w:color w:val="444746"/>
          <w:sz w:val="24"/>
          <w:szCs w:val="24"/>
          <w:vertAlign w:val="superscript"/>
        </w:rPr>
        <w:t>14</w:t>
      </w:r>
      <w:r w:rsidRPr="005B7167">
        <w:rPr>
          <w:rFonts w:ascii="Times New Roman" w:eastAsia="Google Sans Text" w:hAnsi="Times New Roman" w:cs="Times New Roman"/>
          <w:color w:val="1B1C1D"/>
        </w:rPr>
        <w:t xml:space="preserve"> Similarly, children from Scheduled Tribes show higher rates of under-vaccination.</w:t>
      </w:r>
      <w:r w:rsidRPr="005B7167">
        <w:rPr>
          <w:rFonts w:ascii="Times New Roman" w:eastAsia="Google Sans Text" w:hAnsi="Times New Roman" w:cs="Times New Roman"/>
          <w:color w:val="444746"/>
          <w:sz w:val="24"/>
          <w:szCs w:val="24"/>
          <w:vertAlign w:val="superscript"/>
        </w:rPr>
        <w:t>3</w:t>
      </w:r>
    </w:p>
    <w:p w:rsidR="00F56A40" w:rsidRPr="005B7167" w:rsidRDefault="00F56A40" w:rsidP="00AF68D6">
      <w:pPr>
        <w:pStyle w:val="normal0"/>
        <w:numPr>
          <w:ilvl w:val="0"/>
          <w:numId w:val="2"/>
        </w:numPr>
        <w:pBdr>
          <w:top w:val="nil"/>
          <w:left w:val="nil"/>
          <w:bottom w:val="nil"/>
          <w:right w:val="nil"/>
          <w:between w:val="nil"/>
        </w:pBdr>
        <w:spacing w:beforeLines="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Geography:</w:t>
      </w:r>
      <w:r w:rsidRPr="005B7167">
        <w:rPr>
          <w:rFonts w:ascii="Times New Roman" w:eastAsia="Google Sans Text" w:hAnsi="Times New Roman" w:cs="Times New Roman"/>
          <w:color w:val="1B1C1D"/>
        </w:rPr>
        <w:t xml:space="preserve"> Vaccination coverage is highly uneven across India's vast geography. The burden of zero-dose children is spatially clustered, with particularly high concentrations in the North-Eastern states.</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 xml:space="preserve"> Large and populous states such as Madhya Pradesh, Rajasthan, and Assam have also been identified as having persistently low MCV1 coverage, often not exceeding 80%.</w:t>
      </w:r>
      <w:r w:rsidRPr="005B7167">
        <w:rPr>
          <w:rFonts w:ascii="Times New Roman" w:eastAsia="Google Sans Text" w:hAnsi="Times New Roman" w:cs="Times New Roman"/>
          <w:color w:val="444746"/>
          <w:sz w:val="24"/>
          <w:szCs w:val="24"/>
          <w:vertAlign w:val="superscript"/>
        </w:rPr>
        <w:t>6</w:t>
      </w:r>
    </w:p>
    <w:p w:rsidR="00F56A40" w:rsidRPr="005B7167" w:rsidRDefault="00F56A40" w:rsidP="00AF68D6">
      <w:pPr>
        <w:pStyle w:val="normal0"/>
        <w:numPr>
          <w:ilvl w:val="0"/>
          <w:numId w:val="2"/>
        </w:numPr>
        <w:pBdr>
          <w:top w:val="nil"/>
          <w:left w:val="nil"/>
          <w:bottom w:val="nil"/>
          <w:right w:val="nil"/>
          <w:between w:val="nil"/>
        </w:pBdr>
        <w:spacing w:beforeLines="120" w:after="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Other Factors:</w:t>
      </w:r>
      <w:r w:rsidRPr="005B7167">
        <w:rPr>
          <w:rFonts w:ascii="Times New Roman" w:eastAsia="Google Sans Text" w:hAnsi="Times New Roman" w:cs="Times New Roman"/>
          <w:color w:val="1B1C1D"/>
        </w:rPr>
        <w:t xml:space="preserve"> Family structure and healthcare access also play a role. Children of a higher birth order (third or later) and those born outside of a health facility are significantly more likely to be unvaccinated.</w:t>
      </w:r>
      <w:r w:rsidRPr="005B7167">
        <w:rPr>
          <w:rFonts w:ascii="Times New Roman" w:eastAsia="Google Sans Text" w:hAnsi="Times New Roman" w:cs="Times New Roman"/>
          <w:color w:val="444746"/>
          <w:sz w:val="24"/>
          <w:szCs w:val="24"/>
          <w:vertAlign w:val="superscript"/>
        </w:rPr>
        <w:t>3</w:t>
      </w:r>
    </w:p>
    <w:p w:rsidR="00F56A40" w:rsidRPr="005B7167" w:rsidRDefault="00F56A40" w:rsidP="00AF68D6">
      <w:pPr>
        <w:pStyle w:val="normal0"/>
        <w:pBdr>
          <w:top w:val="nil"/>
          <w:left w:val="nil"/>
          <w:bottom w:val="nil"/>
          <w:right w:val="nil"/>
          <w:between w:val="nil"/>
        </w:pBdr>
        <w:spacing w:beforeLines="120" w:after="24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These data points reveal that vulnerability to measles is not driven by single, isolated factors but by the intersection of multiple disadvantages. A child is rarely just poor; they are often poor, living in a remote rural area, born to a mother with no formal education, and belonging to a marginalized social or religious group. </w:t>
      </w:r>
      <w:r w:rsidRPr="005B7167">
        <w:rPr>
          <w:rFonts w:ascii="Times New Roman" w:eastAsia="Google Sans Text" w:hAnsi="Times New Roman" w:cs="Times New Roman"/>
          <w:color w:val="1B1C1D"/>
        </w:rPr>
        <w:lastRenderedPageBreak/>
        <w:t>This creates a cascade of compounded barriers—informational, financial, logistical, and cultural—that make it exceedingly difficult for a family to navigate the health system and complete a two-dose, injection-based vaccination schedule. Effective public health strategies must therefore move beyond simplistic, single-factor targeting and adopt an intersectional approach, designing integrated programs that address the complex and overlapping challenges faced by the most vulnerable communities. This is the essence of reaching the "last mile" in immunization.</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Text" w:hAnsi="Times New Roman" w:cs="Times New Roman"/>
          <w:color w:val="1B1C1D"/>
        </w:rPr>
      </w:pPr>
    </w:p>
    <w:p w:rsidR="00F56A40" w:rsidRPr="005B7167" w:rsidRDefault="00F56A40" w:rsidP="00F56A40">
      <w:pPr>
        <w:pStyle w:val="Heading1"/>
        <w:rPr>
          <w:rFonts w:eastAsia="Google Sans"/>
        </w:rPr>
      </w:pPr>
      <w:r w:rsidRPr="005B7167">
        <w:rPr>
          <w:rFonts w:eastAsia="Google Sans"/>
        </w:rPr>
        <w:t>Systemic and Logistical Barriers</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F56A40">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Beyond individual and household characteristics, a range of systemic and logistical barriers further complicates the path to measles elimination. These include inadequate health infrastructure, shortages of trained manpower, and gaps in communication, all of which can undermine the effectiveness of vaccination programs.</w:t>
      </w:r>
      <w:r w:rsidRPr="005B7167">
        <w:rPr>
          <w:rFonts w:ascii="Times New Roman" w:eastAsia="Google Sans Text" w:hAnsi="Times New Roman" w:cs="Times New Roman"/>
          <w:color w:val="444746"/>
          <w:sz w:val="24"/>
          <w:szCs w:val="24"/>
          <w:vertAlign w:val="superscript"/>
        </w:rPr>
        <w:t>27</w:t>
      </w:r>
    </w:p>
    <w:p w:rsidR="00F56A40" w:rsidRPr="005B7167" w:rsidRDefault="00F56A40" w:rsidP="00F56A40">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 xml:space="preserve">One of the most significant systemic challenges is reaching mobile and hard-to-reach populations. Migrant communities, who move for economic </w:t>
      </w:r>
      <w:proofErr w:type="gramStart"/>
      <w:r w:rsidRPr="005B7167">
        <w:rPr>
          <w:rFonts w:ascii="Times New Roman" w:eastAsia="Google Sans Text" w:hAnsi="Times New Roman" w:cs="Times New Roman"/>
          <w:color w:val="1B1C1D"/>
        </w:rPr>
        <w:t>reasons,</w:t>
      </w:r>
      <w:proofErr w:type="gramEnd"/>
      <w:r w:rsidRPr="005B7167">
        <w:rPr>
          <w:rFonts w:ascii="Times New Roman" w:eastAsia="Google Sans Text" w:hAnsi="Times New Roman" w:cs="Times New Roman"/>
          <w:color w:val="1B1C1D"/>
        </w:rPr>
        <w:t xml:space="preserve"> and tribal populations in remote areas often exist outside the framework of the formal health system, making them difficult to track and consistently vaccinate.</w:t>
      </w:r>
      <w:r w:rsidRPr="005B7167">
        <w:rPr>
          <w:rFonts w:ascii="Times New Roman" w:eastAsia="Google Sans Text" w:hAnsi="Times New Roman" w:cs="Times New Roman"/>
          <w:color w:val="444746"/>
          <w:sz w:val="24"/>
          <w:szCs w:val="24"/>
          <w:vertAlign w:val="superscript"/>
        </w:rPr>
        <w:t>6</w:t>
      </w:r>
    </w:p>
    <w:p w:rsidR="00F56A40" w:rsidRPr="005B7167" w:rsidRDefault="00F56A40" w:rsidP="00F56A40">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Furthermore, vaccine hesitancy, while not as organized in India as in some Western countries, remains a persistent issue. This hesitancy is often fueled by rumors and misinformation about vaccine safety, which can spread rapidly through social media and community networks.</w:t>
      </w:r>
      <w:r w:rsidRPr="005B7167">
        <w:rPr>
          <w:rFonts w:ascii="Times New Roman" w:eastAsia="Google Sans Text" w:hAnsi="Times New Roman" w:cs="Times New Roman"/>
          <w:color w:val="444746"/>
          <w:sz w:val="24"/>
          <w:szCs w:val="24"/>
          <w:vertAlign w:val="superscript"/>
        </w:rPr>
        <w:t>6</w:t>
      </w:r>
      <w:r w:rsidRPr="005B7167">
        <w:rPr>
          <w:rFonts w:ascii="Times New Roman" w:eastAsia="Google Sans Text" w:hAnsi="Times New Roman" w:cs="Times New Roman"/>
          <w:color w:val="1B1C1D"/>
        </w:rPr>
        <w:t xml:space="preserve"> Fears about adverse effects, such as pain from the injection or fever, can also lead to refusal or delay in vaccination.</w:t>
      </w:r>
      <w:r w:rsidRPr="005B7167">
        <w:rPr>
          <w:rFonts w:ascii="Times New Roman" w:eastAsia="Google Sans Text" w:hAnsi="Times New Roman" w:cs="Times New Roman"/>
          <w:color w:val="444746"/>
          <w:sz w:val="24"/>
          <w:szCs w:val="24"/>
          <w:vertAlign w:val="superscript"/>
        </w:rPr>
        <w:t>21</w:t>
      </w:r>
      <w:r w:rsidRPr="005B7167">
        <w:rPr>
          <w:rFonts w:ascii="Times New Roman" w:eastAsia="Google Sans Text" w:hAnsi="Times New Roman" w:cs="Times New Roman"/>
          <w:color w:val="1B1C1D"/>
        </w:rPr>
        <w:t xml:space="preserve"> This points to a "know-do" gap in public health communication. Studies have shown that even when awareness of a vaccination campaign is high (88-97% in one multi-district study), coverage often fails to reach the 95% target.</w:t>
      </w:r>
      <w:r w:rsidRPr="005B7167">
        <w:rPr>
          <w:rFonts w:ascii="Times New Roman" w:eastAsia="Google Sans Text" w:hAnsi="Times New Roman" w:cs="Times New Roman"/>
          <w:color w:val="444746"/>
          <w:sz w:val="24"/>
          <w:szCs w:val="24"/>
          <w:vertAlign w:val="superscript"/>
        </w:rPr>
        <w:t>30</w:t>
      </w:r>
      <w:r w:rsidRPr="005B7167">
        <w:rPr>
          <w:rFonts w:ascii="Times New Roman" w:eastAsia="Google Sans Text" w:hAnsi="Times New Roman" w:cs="Times New Roman"/>
          <w:color w:val="1B1C1D"/>
        </w:rPr>
        <w:t xml:space="preserve"> The primary reasons for non-vaccination in these contexts are not a lack of information but a lack of trust, driven by fears of adverse effects.</w:t>
      </w:r>
      <w:r w:rsidRPr="005B7167">
        <w:rPr>
          <w:rFonts w:ascii="Times New Roman" w:eastAsia="Google Sans Text" w:hAnsi="Times New Roman" w:cs="Times New Roman"/>
          <w:color w:val="444746"/>
          <w:sz w:val="24"/>
          <w:szCs w:val="24"/>
          <w:vertAlign w:val="superscript"/>
        </w:rPr>
        <w:t>29</w:t>
      </w:r>
      <w:r w:rsidRPr="005B7167">
        <w:rPr>
          <w:rFonts w:ascii="Times New Roman" w:eastAsia="Google Sans Text" w:hAnsi="Times New Roman" w:cs="Times New Roman"/>
          <w:color w:val="1B1C1D"/>
        </w:rPr>
        <w:t xml:space="preserve"> This indicates that communication strategies must evolve beyond simple information dissemination. They must become a two-way dialogue that actively engages with community-specific concerns, builds trust through collaboration with local leaders, and directly counters misinformation with credible, accessible evidence.</w:t>
      </w:r>
    </w:p>
    <w:p w:rsidR="00F56A40" w:rsidRPr="005B7167" w:rsidRDefault="00F56A40" w:rsidP="00F56A40">
      <w:pPr>
        <w:pStyle w:val="normal0"/>
        <w:pBdr>
          <w:top w:val="nil"/>
          <w:left w:val="nil"/>
          <w:bottom w:val="nil"/>
          <w:right w:val="nil"/>
          <w:between w:val="nil"/>
        </w:pBdr>
        <w:spacing w:line="276" w:lineRule="auto"/>
        <w:ind w:left="1134" w:right="1134" w:firstLine="567"/>
        <w:jc w:val="both"/>
        <w:rPr>
          <w:rFonts w:ascii="Times New Roman" w:eastAsia="Google Sans Text" w:hAnsi="Times New Roman" w:cs="Times New Roman"/>
          <w:color w:val="444746"/>
          <w:sz w:val="24"/>
          <w:szCs w:val="24"/>
          <w:vertAlign w:val="superscript"/>
        </w:rPr>
      </w:pPr>
      <w:r w:rsidRPr="005B7167">
        <w:rPr>
          <w:rFonts w:ascii="Times New Roman" w:eastAsia="Google Sans Text" w:hAnsi="Times New Roman" w:cs="Times New Roman"/>
          <w:color w:val="1B1C1D"/>
        </w:rPr>
        <w:t>Finally, logistical hurdles such as maintaining the vaccine cold chain, especially in remote areas, and accurately forecasting the demand for vaccines, syringes, and other supplies can hamper the efficiency and reach of both routine services and large-scale campaigns.</w:t>
      </w:r>
      <w:r w:rsidRPr="005B7167">
        <w:rPr>
          <w:rFonts w:ascii="Times New Roman" w:eastAsia="Google Sans Text" w:hAnsi="Times New Roman" w:cs="Times New Roman"/>
          <w:color w:val="444746"/>
          <w:sz w:val="24"/>
          <w:szCs w:val="24"/>
          <w:vertAlign w:val="superscript"/>
        </w:rPr>
        <w:t>6</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Text" w:hAnsi="Times New Roman" w:cs="Times New Roman"/>
          <w:color w:val="444746"/>
          <w:sz w:val="24"/>
          <w:szCs w:val="24"/>
          <w:vertAlign w:val="superscript"/>
        </w:rPr>
      </w:pPr>
    </w:p>
    <w:p w:rsidR="00F56A40" w:rsidRPr="005B7167" w:rsidRDefault="00F56A40" w:rsidP="00F56A40">
      <w:pPr>
        <w:pStyle w:val="Heading1"/>
        <w:rPr>
          <w:rFonts w:eastAsia="Google Sans"/>
        </w:rPr>
      </w:pPr>
      <w:r w:rsidRPr="005B7167">
        <w:rPr>
          <w:rFonts w:eastAsia="Google Sans"/>
        </w:rPr>
        <w:t>Clinical Realities and a Synthesized Path Forward</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F56A40">
      <w:pPr>
        <w:pStyle w:val="normal0"/>
        <w:pBdr>
          <w:top w:val="nil"/>
          <w:left w:val="nil"/>
          <w:bottom w:val="nil"/>
          <w:right w:val="nil"/>
          <w:between w:val="nil"/>
        </w:pBdr>
        <w:spacing w:before="12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A comprehensive understanding of measles epidemiology must also encompass the clinical realities of the disease, as these directly inform the public health response. The severity of measles complications, particularly among vulnerable populations, underscores the urgency of prevention. Synthesizing the epidemiological trends, strategic successes, and persistent challenges of the past decade allows for the formulation of a multi-layered set of recommendations to guide India toward its goal of measles elimination.</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Text" w:hAnsi="Times New Roman" w:cs="Times New Roman"/>
          <w:color w:val="1B1C1D"/>
        </w:rPr>
      </w:pPr>
    </w:p>
    <w:p w:rsidR="00F56A40" w:rsidRPr="005B7167" w:rsidRDefault="00F56A40" w:rsidP="00F56A40">
      <w:pPr>
        <w:pStyle w:val="Heading1"/>
        <w:rPr>
          <w:rFonts w:eastAsia="Google Sans"/>
        </w:rPr>
      </w:pPr>
      <w:r w:rsidRPr="005B7167">
        <w:rPr>
          <w:rFonts w:eastAsia="Google Sans"/>
        </w:rPr>
        <w:t>The Clinical Burden of Measles</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t xml:space="preserve">Measles typically presents with a </w:t>
      </w:r>
      <w:proofErr w:type="spellStart"/>
      <w:r w:rsidRPr="005B7167">
        <w:rPr>
          <w:rFonts w:ascii="Times New Roman" w:eastAsia="Google Sans Text" w:hAnsi="Times New Roman" w:cs="Times New Roman"/>
          <w:color w:val="1B1C1D"/>
        </w:rPr>
        <w:t>prodrome</w:t>
      </w:r>
      <w:proofErr w:type="spellEnd"/>
      <w:r w:rsidRPr="005B7167">
        <w:rPr>
          <w:rFonts w:ascii="Times New Roman" w:eastAsia="Google Sans Text" w:hAnsi="Times New Roman" w:cs="Times New Roman"/>
          <w:color w:val="1B1C1D"/>
        </w:rPr>
        <w:t xml:space="preserve"> of high fever, malaise, and the characteristic "three Cs": cough, </w:t>
      </w:r>
      <w:proofErr w:type="spellStart"/>
      <w:r w:rsidRPr="005B7167">
        <w:rPr>
          <w:rFonts w:ascii="Times New Roman" w:eastAsia="Google Sans Text" w:hAnsi="Times New Roman" w:cs="Times New Roman"/>
          <w:color w:val="1B1C1D"/>
        </w:rPr>
        <w:t>coryza</w:t>
      </w:r>
      <w:proofErr w:type="spellEnd"/>
      <w:r w:rsidRPr="005B7167">
        <w:rPr>
          <w:rFonts w:ascii="Times New Roman" w:eastAsia="Google Sans Text" w:hAnsi="Times New Roman" w:cs="Times New Roman"/>
          <w:color w:val="1B1C1D"/>
        </w:rPr>
        <w:t xml:space="preserve"> (runny nose), and conjunctivitis (red eyes). This is followed by the appearance of a </w:t>
      </w:r>
      <w:proofErr w:type="spellStart"/>
      <w:r w:rsidRPr="005B7167">
        <w:rPr>
          <w:rFonts w:ascii="Times New Roman" w:eastAsia="Google Sans Text" w:hAnsi="Times New Roman" w:cs="Times New Roman"/>
          <w:color w:val="1B1C1D"/>
        </w:rPr>
        <w:t>maculopapular</w:t>
      </w:r>
      <w:proofErr w:type="spellEnd"/>
      <w:r w:rsidRPr="005B7167">
        <w:rPr>
          <w:rFonts w:ascii="Times New Roman" w:eastAsia="Google Sans Text" w:hAnsi="Times New Roman" w:cs="Times New Roman"/>
          <w:color w:val="1B1C1D"/>
        </w:rPr>
        <w:t xml:space="preserve"> rash that spreads from the head downwards.</w:t>
      </w:r>
      <w:r w:rsidRPr="005B7167">
        <w:rPr>
          <w:rFonts w:ascii="Times New Roman" w:eastAsia="Google Sans Text" w:hAnsi="Times New Roman" w:cs="Times New Roman"/>
          <w:color w:val="444746"/>
          <w:sz w:val="24"/>
          <w:szCs w:val="24"/>
          <w:vertAlign w:val="superscript"/>
        </w:rPr>
        <w:t>3</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While</w:t>
      </w:r>
      <w:proofErr w:type="gramEnd"/>
      <w:r w:rsidRPr="005B7167">
        <w:rPr>
          <w:rFonts w:ascii="Times New Roman" w:eastAsia="Google Sans Text" w:hAnsi="Times New Roman" w:cs="Times New Roman"/>
          <w:color w:val="1B1C1D"/>
        </w:rPr>
        <w:t xml:space="preserve"> often perceived as a mild childhood illness, measles can lead to severe and life-threatening complications.</w:t>
      </w:r>
    </w:p>
    <w:p w:rsidR="00F56A40" w:rsidRPr="005B7167" w:rsidRDefault="00F56A40" w:rsidP="00F56A40">
      <w:pPr>
        <w:pStyle w:val="normal0"/>
        <w:pBdr>
          <w:top w:val="nil"/>
          <w:left w:val="nil"/>
          <w:bottom w:val="nil"/>
          <w:right w:val="nil"/>
          <w:between w:val="nil"/>
        </w:pBdr>
        <w:spacing w:before="120" w:after="120" w:line="276" w:lineRule="auto"/>
        <w:ind w:left="1134" w:right="1134" w:firstLine="567"/>
        <w:jc w:val="both"/>
        <w:rPr>
          <w:rFonts w:ascii="Times New Roman" w:eastAsia="Google Sans Text" w:hAnsi="Times New Roman" w:cs="Times New Roman"/>
          <w:color w:val="1B1C1D"/>
        </w:rPr>
      </w:pPr>
      <w:r w:rsidRPr="005B7167">
        <w:rPr>
          <w:rFonts w:ascii="Times New Roman" w:eastAsia="Google Sans Text" w:hAnsi="Times New Roman" w:cs="Times New Roman"/>
          <w:color w:val="1B1C1D"/>
        </w:rPr>
        <w:lastRenderedPageBreak/>
        <w:t>The primary driver of measles-related mortality is pneumonia, which is the most common fatal complication and accounts for over 90% of deaths.</w:t>
      </w:r>
      <w:r w:rsidRPr="005B7167">
        <w:rPr>
          <w:rFonts w:ascii="Times New Roman" w:eastAsia="Google Sans Text" w:hAnsi="Times New Roman" w:cs="Times New Roman"/>
          <w:color w:val="444746"/>
          <w:sz w:val="24"/>
          <w:szCs w:val="24"/>
          <w:vertAlign w:val="superscript"/>
        </w:rPr>
        <w:t>13</w:t>
      </w:r>
      <w:r w:rsidRPr="005B7167">
        <w:rPr>
          <w:rFonts w:ascii="Times New Roman" w:eastAsia="Google Sans Text" w:hAnsi="Times New Roman" w:cs="Times New Roman"/>
          <w:color w:val="1B1C1D"/>
        </w:rPr>
        <w:t xml:space="preserve"> Other serious complications include severe diarrhea, which can lead to dehydration, and encephalitis, an inflammation of the brain that can result in permanent neurological disability or death.</w:t>
      </w:r>
      <w:r w:rsidRPr="005B7167">
        <w:rPr>
          <w:rFonts w:ascii="Times New Roman" w:eastAsia="Google Sans Text" w:hAnsi="Times New Roman" w:cs="Times New Roman"/>
          <w:color w:val="444746"/>
          <w:sz w:val="24"/>
          <w:szCs w:val="24"/>
          <w:vertAlign w:val="superscript"/>
        </w:rPr>
        <w:t>4</w:t>
      </w:r>
      <w:r w:rsidRPr="005B7167">
        <w:rPr>
          <w:rFonts w:ascii="Times New Roman" w:eastAsia="Google Sans Text" w:hAnsi="Times New Roman" w:cs="Times New Roman"/>
          <w:color w:val="1B1C1D"/>
        </w:rPr>
        <w:t xml:space="preserve"> The risk of developing these severe complications is not uniform. The most vulnerable groups include:</w:t>
      </w:r>
    </w:p>
    <w:p w:rsidR="00F56A40" w:rsidRPr="005B7167" w:rsidRDefault="00F56A40" w:rsidP="00F56A40">
      <w:pPr>
        <w:pStyle w:val="normal0"/>
        <w:numPr>
          <w:ilvl w:val="0"/>
          <w:numId w:val="3"/>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Young children:</w:t>
      </w:r>
      <w:r w:rsidRPr="005B7167">
        <w:rPr>
          <w:rFonts w:ascii="Times New Roman" w:eastAsia="Google Sans Text" w:hAnsi="Times New Roman" w:cs="Times New Roman"/>
          <w:color w:val="1B1C1D"/>
        </w:rPr>
        <w:t xml:space="preserve"> Infants and children under the age of five are at the highest risk. Infants under nine months are particularly vulnerable as they are too young to have received their first vaccine dose and may have waning maternal antibodies.</w:t>
      </w:r>
      <w:r w:rsidRPr="005B7167">
        <w:rPr>
          <w:rFonts w:ascii="Times New Roman" w:eastAsia="Google Sans Text" w:hAnsi="Times New Roman" w:cs="Times New Roman"/>
          <w:color w:val="444746"/>
          <w:sz w:val="24"/>
          <w:szCs w:val="24"/>
          <w:vertAlign w:val="superscript"/>
        </w:rPr>
        <w:t>13</w:t>
      </w:r>
    </w:p>
    <w:p w:rsidR="00F56A40" w:rsidRPr="005B7167" w:rsidRDefault="00F56A40" w:rsidP="00F56A40">
      <w:pPr>
        <w:pStyle w:val="normal0"/>
        <w:numPr>
          <w:ilvl w:val="0"/>
          <w:numId w:val="3"/>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Malnourished children:</w:t>
      </w:r>
      <w:r w:rsidRPr="005B7167">
        <w:rPr>
          <w:rFonts w:ascii="Times New Roman" w:eastAsia="Google Sans Text" w:hAnsi="Times New Roman" w:cs="Times New Roman"/>
          <w:color w:val="1B1C1D"/>
        </w:rPr>
        <w:t xml:space="preserve"> Malnutrition, especially Vitamin A deficiency, severely compromises a child's immune system and increases the risk of severe measles. One hospital-based study in India found that 42% of children admitted with measles were malnourished.</w:t>
      </w:r>
      <w:r w:rsidRPr="005B7167">
        <w:rPr>
          <w:rFonts w:ascii="Times New Roman" w:eastAsia="Google Sans Text" w:hAnsi="Times New Roman" w:cs="Times New Roman"/>
          <w:color w:val="444746"/>
          <w:sz w:val="24"/>
          <w:szCs w:val="24"/>
          <w:vertAlign w:val="superscript"/>
        </w:rPr>
        <w:t>13</w:t>
      </w:r>
    </w:p>
    <w:p w:rsidR="00F56A40" w:rsidRPr="005B7167" w:rsidRDefault="00F56A40" w:rsidP="00F56A40">
      <w:pPr>
        <w:pStyle w:val="normal0"/>
        <w:numPr>
          <w:ilvl w:val="0"/>
          <w:numId w:val="3"/>
        </w:numPr>
        <w:pBdr>
          <w:top w:val="nil"/>
          <w:left w:val="nil"/>
          <w:bottom w:val="nil"/>
          <w:right w:val="nil"/>
          <w:between w:val="nil"/>
        </w:pBdr>
        <w:spacing w:before="120" w:after="120" w:line="276" w:lineRule="auto"/>
        <w:ind w:left="1134" w:right="1134" w:firstLine="567"/>
        <w:jc w:val="both"/>
        <w:rPr>
          <w:rFonts w:ascii="Times New Roman" w:hAnsi="Times New Roman" w:cs="Times New Roman"/>
        </w:rPr>
      </w:pPr>
      <w:proofErr w:type="spellStart"/>
      <w:r w:rsidRPr="005B7167">
        <w:rPr>
          <w:rFonts w:ascii="Times New Roman" w:eastAsia="Google Sans Text" w:hAnsi="Times New Roman" w:cs="Times New Roman"/>
          <w:b/>
          <w:color w:val="1B1C1D"/>
        </w:rPr>
        <w:t>Immunocompromised</w:t>
      </w:r>
      <w:proofErr w:type="spellEnd"/>
      <w:r w:rsidRPr="005B7167">
        <w:rPr>
          <w:rFonts w:ascii="Times New Roman" w:eastAsia="Google Sans Text" w:hAnsi="Times New Roman" w:cs="Times New Roman"/>
          <w:b/>
          <w:color w:val="1B1C1D"/>
        </w:rPr>
        <w:t xml:space="preserve"> individuals:</w:t>
      </w:r>
      <w:r w:rsidRPr="005B7167">
        <w:rPr>
          <w:rFonts w:ascii="Times New Roman" w:eastAsia="Google Sans Text" w:hAnsi="Times New Roman" w:cs="Times New Roman"/>
          <w:color w:val="1B1C1D"/>
        </w:rPr>
        <w:t xml:space="preserve"> People with weakened immune systems due to conditions like leukemia or HIV are also at high risk for severe disease.</w:t>
      </w:r>
      <w:r w:rsidRPr="005B7167">
        <w:rPr>
          <w:rFonts w:ascii="Times New Roman" w:eastAsia="Google Sans Text" w:hAnsi="Times New Roman" w:cs="Times New Roman"/>
          <w:color w:val="444746"/>
          <w:sz w:val="24"/>
          <w:szCs w:val="24"/>
          <w:vertAlign w:val="superscript"/>
        </w:rPr>
        <w:t>31</w:t>
      </w:r>
    </w:p>
    <w:p w:rsidR="00F56A40" w:rsidRPr="00F56A40" w:rsidRDefault="00F56A40" w:rsidP="00F56A40">
      <w:pPr>
        <w:pStyle w:val="Heading1"/>
        <w:ind w:left="0"/>
        <w:rPr>
          <w:rFonts w:eastAsia="Google Sans Text"/>
          <w:vertAlign w:val="superscript"/>
          <w:lang w:val="en-US"/>
        </w:rPr>
      </w:pPr>
    </w:p>
    <w:p w:rsidR="00F56A40" w:rsidRPr="00F56A40" w:rsidRDefault="00F56A40" w:rsidP="00F56A40">
      <w:pPr>
        <w:pStyle w:val="Heading1"/>
        <w:rPr>
          <w:rFonts w:eastAsia="Google Sans"/>
          <w:color w:val="1B1C1D"/>
        </w:rPr>
      </w:pPr>
      <w:r w:rsidRPr="00F56A40">
        <w:rPr>
          <w:rFonts w:eastAsia="Google Sans"/>
          <w:color w:val="1B1C1D"/>
        </w:rPr>
        <w:t>Public Health Practice Recommendations</w:t>
      </w:r>
    </w:p>
    <w:p w:rsidR="00F56A40" w:rsidRPr="005B7167" w:rsidRDefault="00F56A40" w:rsidP="00F56A40">
      <w:pPr>
        <w:pStyle w:val="normal0"/>
        <w:pBdr>
          <w:top w:val="nil"/>
          <w:left w:val="nil"/>
          <w:bottom w:val="nil"/>
          <w:right w:val="nil"/>
          <w:between w:val="nil"/>
        </w:pBdr>
        <w:spacing w:after="120" w:line="275" w:lineRule="auto"/>
        <w:rPr>
          <w:rFonts w:ascii="Times New Roman" w:eastAsia="Google Sans" w:hAnsi="Times New Roman" w:cs="Times New Roman"/>
          <w:color w:val="1B1C1D"/>
        </w:rPr>
      </w:pPr>
    </w:p>
    <w:p w:rsidR="00F56A40" w:rsidRPr="005B7167" w:rsidRDefault="00F56A40" w:rsidP="00F56A40">
      <w:pPr>
        <w:pStyle w:val="normal0"/>
        <w:numPr>
          <w:ilvl w:val="0"/>
          <w:numId w:val="5"/>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Enhance and Integrate Surveillance:</w:t>
      </w:r>
      <w:r w:rsidRPr="005B7167">
        <w:rPr>
          <w:rFonts w:ascii="Times New Roman" w:eastAsia="Google Sans Text" w:hAnsi="Times New Roman" w:cs="Times New Roman"/>
          <w:color w:val="1B1C1D"/>
        </w:rPr>
        <w:t xml:space="preserve"> A sensitive, real-time, case-based surveillance system is the bedrock of any elimination program. This system must be fully integrated with a network of accredited laboratories to ensure rapid confirmation of cases, which allows for a swift and targeted public health response to contain outbreaks before they spread.</w:t>
      </w:r>
      <w:r w:rsidRPr="005B7167">
        <w:rPr>
          <w:rFonts w:ascii="Times New Roman" w:eastAsia="Google Sans Text" w:hAnsi="Times New Roman" w:cs="Times New Roman"/>
          <w:color w:val="444746"/>
          <w:sz w:val="24"/>
          <w:szCs w:val="24"/>
          <w:vertAlign w:val="superscript"/>
        </w:rPr>
        <w:t>5</w:t>
      </w:r>
    </w:p>
    <w:p w:rsidR="00F56A40" w:rsidRPr="005B7167" w:rsidRDefault="00F56A40" w:rsidP="00F56A40">
      <w:pPr>
        <w:pStyle w:val="normal0"/>
        <w:numPr>
          <w:ilvl w:val="0"/>
          <w:numId w:val="5"/>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Implement Community-Centric Communication:</w:t>
      </w:r>
      <w:r w:rsidRPr="005B7167">
        <w:rPr>
          <w:rFonts w:ascii="Times New Roman" w:eastAsia="Google Sans Text" w:hAnsi="Times New Roman" w:cs="Times New Roman"/>
          <w:color w:val="1B1C1D"/>
        </w:rPr>
        <w:t xml:space="preserve"> Public health communication must shift from a top-down, one-way dissemination of information to a model of genuine community engagement. This involves actively collaborating with local political leaders, religious figures, and community influencers to build trust, listen to and address specific local concerns about vaccine safety, and proactively counter misinformation.</w:t>
      </w:r>
      <w:r w:rsidRPr="005B7167">
        <w:rPr>
          <w:rFonts w:ascii="Times New Roman" w:eastAsia="Google Sans Text" w:hAnsi="Times New Roman" w:cs="Times New Roman"/>
          <w:color w:val="444746"/>
          <w:sz w:val="24"/>
          <w:szCs w:val="24"/>
          <w:vertAlign w:val="superscript"/>
        </w:rPr>
        <w:t>6</w:t>
      </w:r>
    </w:p>
    <w:p w:rsidR="00F56A40" w:rsidRPr="005B7167" w:rsidRDefault="00F56A40" w:rsidP="00F56A40">
      <w:pPr>
        <w:pStyle w:val="normal0"/>
        <w:numPr>
          <w:ilvl w:val="0"/>
          <w:numId w:val="5"/>
        </w:numPr>
        <w:pBdr>
          <w:top w:val="nil"/>
          <w:left w:val="nil"/>
          <w:bottom w:val="nil"/>
          <w:right w:val="nil"/>
          <w:between w:val="nil"/>
        </w:pBdr>
        <w:spacing w:before="120" w:after="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Integrate Clinical Management into Outbreak Response:</w:t>
      </w:r>
      <w:r w:rsidRPr="005B7167">
        <w:rPr>
          <w:rFonts w:ascii="Times New Roman" w:eastAsia="Google Sans Text" w:hAnsi="Times New Roman" w:cs="Times New Roman"/>
          <w:color w:val="1B1C1D"/>
        </w:rPr>
        <w:t xml:space="preserve"> Outbreak response plans must have a dual focus on both prevention and treatment. Alongside emergency vaccination, protocols for the effective clinical management of severe measles cases must be reinforced. This includes ensuring the availability and proper administration of Vitamin A, a proven intervention that reduces the severity and mortality of measles.</w:t>
      </w:r>
      <w:r w:rsidRPr="005B7167">
        <w:rPr>
          <w:rFonts w:ascii="Times New Roman" w:eastAsia="Google Sans Text" w:hAnsi="Times New Roman" w:cs="Times New Roman"/>
          <w:color w:val="444746"/>
          <w:sz w:val="24"/>
          <w:szCs w:val="24"/>
          <w:vertAlign w:val="superscript"/>
        </w:rPr>
        <w:t>23</w:t>
      </w:r>
    </w:p>
    <w:p w:rsidR="00F56A40" w:rsidRPr="00F56A40" w:rsidRDefault="00F56A40" w:rsidP="00F56A40">
      <w:pPr>
        <w:pStyle w:val="Heading1"/>
        <w:rPr>
          <w:rFonts w:eastAsia="Google Sans Text"/>
          <w:vertAlign w:val="superscript"/>
        </w:rPr>
      </w:pPr>
    </w:p>
    <w:p w:rsidR="00F56A40" w:rsidRPr="00F56A40" w:rsidRDefault="00F56A40" w:rsidP="00F56A40">
      <w:pPr>
        <w:pStyle w:val="Heading1"/>
        <w:rPr>
          <w:rFonts w:eastAsia="Google Sans"/>
          <w:color w:val="1B1C1D"/>
        </w:rPr>
      </w:pPr>
      <w:r w:rsidRPr="00F56A40">
        <w:rPr>
          <w:rFonts w:eastAsia="Google Sans"/>
          <w:color w:val="1B1C1D"/>
        </w:rPr>
        <w:t>Future Research Agenda</w:t>
      </w:r>
    </w:p>
    <w:p w:rsidR="00F56A40" w:rsidRPr="005B7167" w:rsidRDefault="00F56A40" w:rsidP="00F56A40">
      <w:pPr>
        <w:pStyle w:val="normal0"/>
        <w:pBdr>
          <w:top w:val="nil"/>
          <w:left w:val="nil"/>
          <w:bottom w:val="nil"/>
          <w:right w:val="nil"/>
          <w:between w:val="nil"/>
        </w:pBdr>
        <w:spacing w:before="120" w:after="120" w:line="276" w:lineRule="auto"/>
        <w:ind w:leftChars="1134" w:left="2495" w:right="1134" w:firstLine="567"/>
        <w:jc w:val="both"/>
        <w:rPr>
          <w:rFonts w:ascii="Times New Roman" w:eastAsia="Google Sans" w:hAnsi="Times New Roman" w:cs="Times New Roman"/>
          <w:color w:val="1B1C1D"/>
        </w:rPr>
      </w:pPr>
    </w:p>
    <w:p w:rsidR="00F56A40" w:rsidRPr="005B7167" w:rsidRDefault="00F56A40" w:rsidP="00570398">
      <w:pPr>
        <w:pStyle w:val="normal0"/>
        <w:numPr>
          <w:ilvl w:val="0"/>
          <w:numId w:val="6"/>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Investigate the Rising Case Fatality Rate:</w:t>
      </w:r>
      <w:r w:rsidRPr="005B7167">
        <w:rPr>
          <w:rFonts w:ascii="Times New Roman" w:eastAsia="Google Sans Text" w:hAnsi="Times New Roman" w:cs="Times New Roman"/>
          <w:color w:val="1B1C1D"/>
        </w:rPr>
        <w:t xml:space="preserve"> A priority for future research is to definitively determine the factors driving the alarming increase in the measles CFR. Studies are needed to disentangle the effects of surveillance artifacts from potential declines in the quality of clinical care.</w:t>
      </w:r>
    </w:p>
    <w:p w:rsidR="00F56A40" w:rsidRPr="005B7167" w:rsidRDefault="00F56A40" w:rsidP="00570398">
      <w:pPr>
        <w:pStyle w:val="normal0"/>
        <w:numPr>
          <w:ilvl w:val="0"/>
          <w:numId w:val="6"/>
        </w:numPr>
        <w:pBdr>
          <w:top w:val="nil"/>
          <w:left w:val="nil"/>
          <w:bottom w:val="nil"/>
          <w:right w:val="nil"/>
          <w:between w:val="nil"/>
        </w:pBdr>
        <w:spacing w:before="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Assess Real-World Vaccine Effectiveness:</w:t>
      </w:r>
      <w:r w:rsidRPr="005B7167">
        <w:rPr>
          <w:rFonts w:ascii="Times New Roman" w:eastAsia="Google Sans Text" w:hAnsi="Times New Roman" w:cs="Times New Roman"/>
          <w:color w:val="1B1C1D"/>
        </w:rPr>
        <w:t xml:space="preserve"> While measles vaccines are known to be highly effective, some outbreak investigations in India have reported a two-dose vaccine effectiveness in the range of 64-70%, which is lower than expected.</w:t>
      </w:r>
      <w:r w:rsidRPr="005B7167">
        <w:rPr>
          <w:rFonts w:ascii="Times New Roman" w:eastAsia="Google Sans Text" w:hAnsi="Times New Roman" w:cs="Times New Roman"/>
          <w:color w:val="444746"/>
          <w:sz w:val="24"/>
          <w:szCs w:val="24"/>
          <w:vertAlign w:val="superscript"/>
        </w:rPr>
        <w:t>8</w:t>
      </w:r>
      <w:r w:rsidRPr="005B7167">
        <w:rPr>
          <w:rFonts w:ascii="Times New Roman" w:eastAsia="Google Sans Text" w:hAnsi="Times New Roman" w:cs="Times New Roman"/>
          <w:color w:val="1B1C1D"/>
        </w:rPr>
        <w:t xml:space="preserve"> Research is needed to understand if factors prevalent in the Indian context, such as malnutrition or the vaccine cold chain, are impacting real-world vaccine performance.</w:t>
      </w:r>
    </w:p>
    <w:p w:rsidR="00F56A40" w:rsidRPr="005B7167" w:rsidRDefault="00F56A40" w:rsidP="00570398">
      <w:pPr>
        <w:pStyle w:val="normal0"/>
        <w:numPr>
          <w:ilvl w:val="0"/>
          <w:numId w:val="6"/>
        </w:numPr>
        <w:pBdr>
          <w:top w:val="nil"/>
          <w:left w:val="nil"/>
          <w:bottom w:val="nil"/>
          <w:right w:val="nil"/>
          <w:between w:val="nil"/>
        </w:pBdr>
        <w:spacing w:before="120" w:after="120" w:line="276" w:lineRule="auto"/>
        <w:ind w:left="1134" w:right="1134" w:firstLine="567"/>
        <w:jc w:val="both"/>
        <w:rPr>
          <w:rFonts w:ascii="Times New Roman" w:hAnsi="Times New Roman" w:cs="Times New Roman"/>
        </w:rPr>
      </w:pPr>
      <w:r w:rsidRPr="005B7167">
        <w:rPr>
          <w:rFonts w:ascii="Times New Roman" w:eastAsia="Google Sans Text" w:hAnsi="Times New Roman" w:cs="Times New Roman"/>
          <w:b/>
          <w:color w:val="1B1C1D"/>
        </w:rPr>
        <w:t>Analyze the Impact of Vaccination Timeliness:</w:t>
      </w:r>
      <w:r w:rsidRPr="005B7167">
        <w:rPr>
          <w:rFonts w:ascii="Times New Roman" w:eastAsia="Google Sans Text" w:hAnsi="Times New Roman" w:cs="Times New Roman"/>
          <w:color w:val="1B1C1D"/>
        </w:rPr>
        <w:t xml:space="preserve"> Studies indicate that a majority of immunized children in India (over 55%) receive their measles vaccine dose after the recommended age.</w:t>
      </w:r>
      <w:r w:rsidRPr="005B7167">
        <w:rPr>
          <w:rFonts w:ascii="Times New Roman" w:eastAsia="Google Sans Text" w:hAnsi="Times New Roman" w:cs="Times New Roman"/>
          <w:color w:val="444746"/>
          <w:sz w:val="24"/>
          <w:szCs w:val="24"/>
          <w:vertAlign w:val="superscript"/>
        </w:rPr>
        <w:t>34</w:t>
      </w:r>
      <w:r w:rsidRPr="005B7167">
        <w:rPr>
          <w:rFonts w:ascii="Times New Roman" w:eastAsia="Google Sans Text" w:hAnsi="Times New Roman" w:cs="Times New Roman"/>
          <w:color w:val="1B1C1D"/>
        </w:rPr>
        <w:t xml:space="preserve"> </w:t>
      </w:r>
      <w:proofErr w:type="gramStart"/>
      <w:r w:rsidRPr="005B7167">
        <w:rPr>
          <w:rFonts w:ascii="Times New Roman" w:eastAsia="Google Sans Text" w:hAnsi="Times New Roman" w:cs="Times New Roman"/>
          <w:color w:val="1B1C1D"/>
        </w:rPr>
        <w:t>This</w:t>
      </w:r>
      <w:proofErr w:type="gramEnd"/>
      <w:r w:rsidRPr="005B7167">
        <w:rPr>
          <w:rFonts w:ascii="Times New Roman" w:eastAsia="Google Sans Text" w:hAnsi="Times New Roman" w:cs="Times New Roman"/>
          <w:color w:val="1B1C1D"/>
        </w:rPr>
        <w:t xml:space="preserve"> delay extends the period of vulnerability. Research is needed to understand the drivers of these delays and to quantify their impact on disease transmission and outbreak risk.</w:t>
      </w:r>
    </w:p>
    <w:p w:rsidR="00F56A40" w:rsidRPr="005B7167" w:rsidRDefault="00F56A40" w:rsidP="00F56A40">
      <w:pPr>
        <w:pStyle w:val="normal0"/>
        <w:pBdr>
          <w:top w:val="nil"/>
          <w:left w:val="nil"/>
          <w:bottom w:val="nil"/>
          <w:right w:val="nil"/>
          <w:between w:val="nil"/>
        </w:pBdr>
        <w:spacing w:before="240" w:after="240" w:line="275" w:lineRule="auto"/>
        <w:rPr>
          <w:rFonts w:ascii="Times New Roman" w:eastAsia="Google Sans Text" w:hAnsi="Times New Roman" w:cs="Times New Roman"/>
          <w:color w:val="1B1C1D"/>
        </w:rPr>
      </w:pPr>
    </w:p>
    <w:p w:rsidR="00F56A40" w:rsidRPr="005B7167" w:rsidRDefault="00F56A40" w:rsidP="00F56A40">
      <w:pPr>
        <w:pStyle w:val="Heading1"/>
        <w:rPr>
          <w:rFonts w:eastAsia="Google Sans"/>
        </w:rPr>
      </w:pPr>
      <w:r w:rsidRPr="005B7167">
        <w:rPr>
          <w:rFonts w:eastAsia="Google Sans"/>
        </w:rPr>
        <w:lastRenderedPageBreak/>
        <w:t>Conclusion</w:t>
      </w:r>
    </w:p>
    <w:p w:rsidR="00F56A40" w:rsidRPr="005B7167" w:rsidRDefault="00F56A40" w:rsidP="00F56A40">
      <w:pPr>
        <w:pStyle w:val="normal0"/>
        <w:pBdr>
          <w:top w:val="nil"/>
          <w:left w:val="nil"/>
          <w:bottom w:val="nil"/>
          <w:right w:val="nil"/>
          <w:between w:val="nil"/>
        </w:pBdr>
        <w:spacing w:after="240" w:line="275" w:lineRule="auto"/>
        <w:rPr>
          <w:rFonts w:ascii="Times New Roman" w:eastAsia="Google Sans" w:hAnsi="Times New Roman" w:cs="Times New Roman"/>
          <w:color w:val="1B1C1D"/>
        </w:rPr>
      </w:pP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The story of measles in India over the last decade is one of profound complexity. It is a narrative of remarkable progress, exemplified by the millions of deaths averted through monumental public health campaigns and a steady decline in the overall incidence of the disease. Yet, this progress is shadowed by the fragility of these gains, the persistence of deep-seated inequities, and the stark reminder, delivered by the post-pandemic resurgence, that the path to elimination is neither linear nor guaranteed. The fight against measles is far from over.</w:t>
      </w:r>
    </w:p>
    <w:p w:rsidR="00F56A40" w:rsidRPr="005B7167" w:rsidRDefault="00F56A40" w:rsidP="00F56A40">
      <w:pPr>
        <w:pStyle w:val="normal0"/>
        <w:pBdr>
          <w:top w:val="nil"/>
          <w:left w:val="nil"/>
          <w:bottom w:val="nil"/>
          <w:right w:val="nil"/>
          <w:between w:val="nil"/>
        </w:pBdr>
        <w:spacing w:before="120" w:after="240"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The evidence synthesized in this report points to an inescapable conclusion: in modern India, measles is fundamentally a disease of inequity. Its continued transmission is a direct reflection of the fractures in the public health system and the societal gaps that leave the most marginalized children behind. The virus expertly finds and exploits these pockets of vulnerability—in remote villages, in crowded urban slums, and among families facing compounded disadvantages of poverty, lack of education, and social exclusion.</w:t>
      </w:r>
    </w:p>
    <w:p w:rsidR="00F56A40" w:rsidRPr="005B7167" w:rsidRDefault="00F56A40" w:rsidP="00F56A40">
      <w:pPr>
        <w:pStyle w:val="normal0"/>
        <w:pBdr>
          <w:top w:val="nil"/>
          <w:left w:val="nil"/>
          <w:bottom w:val="nil"/>
          <w:right w:val="nil"/>
          <w:between w:val="nil"/>
        </w:pBdr>
        <w:spacing w:before="120" w:after="255" w:line="276" w:lineRule="auto"/>
        <w:ind w:left="1134" w:right="1134" w:firstLine="567"/>
        <w:rPr>
          <w:rFonts w:ascii="Times New Roman" w:eastAsia="Google Sans Text" w:hAnsi="Times New Roman" w:cs="Times New Roman"/>
          <w:color w:val="1B1C1D"/>
        </w:rPr>
      </w:pPr>
      <w:r w:rsidRPr="005B7167">
        <w:rPr>
          <w:rFonts w:ascii="Times New Roman" w:eastAsia="Google Sans Text" w:hAnsi="Times New Roman" w:cs="Times New Roman"/>
          <w:color w:val="1B1C1D"/>
        </w:rPr>
        <w:t>While the goal of measles elimination remains achievable, it demands a renewed and re-envisioned strategy. It requires moving beyond a singular focus on national coverage statistics to an unwavering commitment to equity. It necessitates building a truly resilient routine immunization system that can withstand systemic shocks and protect every child, everywhere, all the time. By addressing the root causes of under-vaccination and strengthening both preventive and clinical services, India can finally break the cycle of transmission and secure a measles-free future for generations to come.</w:t>
      </w:r>
    </w:p>
    <w:p w:rsidR="0000535E" w:rsidRDefault="0004078F">
      <w:pPr>
        <w:pStyle w:val="Heading1"/>
        <w:spacing w:before="1"/>
        <w:ind w:left="1194"/>
      </w:pPr>
      <w:r>
        <w:rPr>
          <w:spacing w:val="-2"/>
        </w:rPr>
        <w:t>References</w:t>
      </w:r>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Measles - </w:t>
      </w:r>
      <w:proofErr w:type="spellStart"/>
      <w:r w:rsidRPr="00774A01">
        <w:rPr>
          <w:sz w:val="24"/>
          <w:lang w:val="en-US"/>
        </w:rPr>
        <w:t>StatPearls</w:t>
      </w:r>
      <w:proofErr w:type="spellEnd"/>
      <w:r w:rsidRPr="00774A01">
        <w:rPr>
          <w:sz w:val="24"/>
          <w:lang w:val="en-US"/>
        </w:rPr>
        <w:t xml:space="preserve"> - NCBI Bookshelf, accessed on October 17, 2025, </w:t>
      </w:r>
      <w:hyperlink r:id="rId13">
        <w:r w:rsidRPr="00774A01">
          <w:rPr>
            <w:rStyle w:val="Hyperlink"/>
            <w:sz w:val="24"/>
            <w:lang w:val="en-US"/>
          </w:rPr>
          <w:t>https://www.ncbi.nlm.nih.gov/books/NBK448068/</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Trends of the Global, Regional, and National Incidence of Measles, Vaccine Coverage, and Risk Factors in 204 Countries From 1990 to 2019 - Frontiers, accessed on October 17, 2025, </w:t>
      </w:r>
      <w:hyperlink r:id="rId14">
        <w:r w:rsidRPr="00774A01">
          <w:rPr>
            <w:rStyle w:val="Hyperlink"/>
            <w:sz w:val="24"/>
            <w:lang w:val="en-US"/>
          </w:rPr>
          <w:t>https://www.frontiersin.org/journals/medicine/articles/10.3389/fmed.2021.798031/full</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Exploring landscape of measles vaccination coverage: A step ..., accessed on October 17, 2025, </w:t>
      </w:r>
      <w:hyperlink r:id="rId15">
        <w:r w:rsidRPr="00774A01">
          <w:rPr>
            <w:rStyle w:val="Hyperlink"/>
            <w:sz w:val="24"/>
            <w:lang w:val="en-US"/>
          </w:rPr>
          <w:t>https://pmc.ncbi.nlm.nih.gov/articles/PMC11165302/</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The challenges and main recommendations to fight measles in India: A mini review - PMC, accessed on October 17, 2025, </w:t>
      </w:r>
      <w:hyperlink r:id="rId16">
        <w:r w:rsidRPr="00774A01">
          <w:rPr>
            <w:rStyle w:val="Hyperlink"/>
            <w:sz w:val="24"/>
            <w:lang w:val="en-US"/>
          </w:rPr>
          <w:t>https://pmc.ncbi.nlm.nih.gov/articles/PMC11137336/</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Progress Toward Measles and Rubella Elimination — India, 2005 ..., accessed on October 17, 2025, </w:t>
      </w:r>
      <w:hyperlink r:id="rId17">
        <w:r w:rsidRPr="00774A01">
          <w:rPr>
            <w:rStyle w:val="Hyperlink"/>
            <w:sz w:val="24"/>
            <w:lang w:val="en-US"/>
          </w:rPr>
          <w:t>https://www.cdc.gov/mmwr/volumes/71/wr/mm7150a1.htm</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Elimination of measles from India: Challenges ahead and the way forward - PMC, accessed on October 17, 2025, </w:t>
      </w:r>
      <w:hyperlink r:id="rId18">
        <w:r w:rsidRPr="00774A01">
          <w:rPr>
            <w:rStyle w:val="Hyperlink"/>
            <w:sz w:val="24"/>
            <w:lang w:val="en-US"/>
          </w:rPr>
          <w:t>https://pmc.ncbi.nlm.nih.gov/articles/PMC5414430/</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Progress Toward Measles and Rubella Elimination - India, 2005-2021 - </w:t>
      </w:r>
      <w:proofErr w:type="spellStart"/>
      <w:r w:rsidRPr="00774A01">
        <w:rPr>
          <w:sz w:val="24"/>
          <w:lang w:val="en-US"/>
        </w:rPr>
        <w:t>PubMed</w:t>
      </w:r>
      <w:proofErr w:type="spellEnd"/>
      <w:r w:rsidRPr="00774A01">
        <w:rPr>
          <w:sz w:val="24"/>
          <w:lang w:val="en-US"/>
        </w:rPr>
        <w:t xml:space="preserve">, accessed on October 17, 2025, </w:t>
      </w:r>
      <w:hyperlink r:id="rId19">
        <w:r w:rsidRPr="00774A01">
          <w:rPr>
            <w:rStyle w:val="Hyperlink"/>
            <w:sz w:val="24"/>
            <w:lang w:val="en-US"/>
          </w:rPr>
          <w:t>https://pubmed.ncbi.nlm.nih.gov/36520657/</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Interplay of missed opportunity for vaccination and poor response to the vaccine led to measles outbreak in a slum area of Eastern Mumbai, India, accessed on October 17, 2025, </w:t>
      </w:r>
      <w:hyperlink r:id="rId20">
        <w:r w:rsidRPr="00774A01">
          <w:rPr>
            <w:rStyle w:val="Hyperlink"/>
            <w:sz w:val="24"/>
            <w:lang w:val="en-US"/>
          </w:rPr>
          <w:t>https://pmc.ncbi.nlm.nih.gov/articles/PMC11022250/</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(PDF) Decadal analysis of measles epidemiological data in India ..., accessed on October 17, 2025, </w:t>
      </w:r>
      <w:hyperlink r:id="rId21">
        <w:r w:rsidRPr="00774A01">
          <w:rPr>
            <w:rStyle w:val="Hyperlink"/>
            <w:sz w:val="24"/>
            <w:lang w:val="en-US"/>
          </w:rPr>
          <w:t>https://www.researchgate.net/publication/380818356_Decadal_analysis_of_measles_epidemiological_data_in_India_2011-2020</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India vaccinates 30 million children against measles and rubella in seven months, accessed on October 17, 2025, </w:t>
      </w:r>
      <w:hyperlink r:id="rId22">
        <w:r w:rsidRPr="00774A01">
          <w:rPr>
            <w:rStyle w:val="Hyperlink"/>
            <w:sz w:val="24"/>
            <w:lang w:val="en-US"/>
          </w:rPr>
          <w:t>https://www.who.int/india/news-room/feature-stories/detail/india-vaccinates-30-million-children-against-measles-and-rubella-in-7-months</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lastRenderedPageBreak/>
        <w:t xml:space="preserve">Global Measles Outbreaks | Global Measles Vaccination | CDC, accessed on October 17, 2025, </w:t>
      </w:r>
      <w:hyperlink r:id="rId23">
        <w:r w:rsidRPr="00774A01">
          <w:rPr>
            <w:rStyle w:val="Hyperlink"/>
            <w:sz w:val="24"/>
            <w:lang w:val="en-US"/>
          </w:rPr>
          <w:t>https://www.cdc.gov/global-measles-vaccination/data-research/global-measles-outbreaks/index.html</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Measles in India - </w:t>
      </w:r>
      <w:proofErr w:type="spellStart"/>
      <w:r w:rsidRPr="00774A01">
        <w:rPr>
          <w:sz w:val="24"/>
          <w:lang w:val="en-US"/>
        </w:rPr>
        <w:t>PubMed</w:t>
      </w:r>
      <w:proofErr w:type="spellEnd"/>
      <w:r w:rsidRPr="00774A01">
        <w:rPr>
          <w:sz w:val="24"/>
          <w:lang w:val="en-US"/>
        </w:rPr>
        <w:t xml:space="preserve">, accessed on October 17, 2025, </w:t>
      </w:r>
      <w:hyperlink r:id="rId24">
        <w:r w:rsidRPr="00774A01">
          <w:rPr>
            <w:rStyle w:val="Hyperlink"/>
            <w:sz w:val="24"/>
            <w:lang w:val="en-US"/>
          </w:rPr>
          <w:t>https://pubmed.ncbi.nlm.nih.gov/6878990/</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Reporting measles case fatality due to complications from a tertiary ..., accessed on October 17, 2025, </w:t>
      </w:r>
      <w:hyperlink r:id="rId25">
        <w:r w:rsidRPr="00774A01">
          <w:rPr>
            <w:rStyle w:val="Hyperlink"/>
            <w:sz w:val="24"/>
            <w:lang w:val="en-US"/>
          </w:rPr>
          <w:t>https://pmc.ncbi.nlm.nih.gov/articles/PMC5353812/</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Recrudescence of measles in India: an emerging threat - PMC, accessed on October 17, 2025, </w:t>
      </w:r>
      <w:hyperlink r:id="rId26">
        <w:r w:rsidRPr="00774A01">
          <w:rPr>
            <w:rStyle w:val="Hyperlink"/>
            <w:sz w:val="24"/>
            <w:lang w:val="en-US"/>
          </w:rPr>
          <w:t>https://pmc.ncbi.nlm.nih.gov/articles/PMC10177746/</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Added value of the measles-rubella supplementary immunization activity in reaching unvaccinated and under-vaccinated children, a cross-sectional study in five Indian districts, 2018–20 - PMC, accessed on October 17, 2025, </w:t>
      </w:r>
      <w:hyperlink r:id="rId27">
        <w:r w:rsidRPr="00774A01">
          <w:rPr>
            <w:rStyle w:val="Hyperlink"/>
            <w:sz w:val="24"/>
            <w:lang w:val="en-US"/>
          </w:rPr>
          <w:t>https://pmc.ncbi.nlm.nih.gov/articles/PMC9831119/</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The Problem with Delaying Measles Elimination - PMC, accessed on October 17, 2025, </w:t>
      </w:r>
      <w:hyperlink r:id="rId28">
        <w:r w:rsidRPr="00774A01">
          <w:rPr>
            <w:rStyle w:val="Hyperlink"/>
            <w:sz w:val="24"/>
            <w:lang w:val="en-US"/>
          </w:rPr>
          <w:t>https://pmc.ncbi.nlm.nih.gov/articles/PMC11281398/</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Reducing measles mortality in India - PMC, accessed on October 17, 2025, </w:t>
      </w:r>
      <w:hyperlink r:id="rId29">
        <w:r w:rsidRPr="00774A01">
          <w:rPr>
            <w:rStyle w:val="Hyperlink"/>
            <w:sz w:val="24"/>
            <w:lang w:val="en-US"/>
          </w:rPr>
          <w:t>https://pmc.ncbi.nlm.nih.gov/articles/PMC6456291/</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The impact of measles immunization campaigns in India using a nationally representative sample of 27000 child deaths, accessed on October 17, 2025, </w:t>
      </w:r>
      <w:hyperlink r:id="rId30">
        <w:r w:rsidRPr="00774A01">
          <w:rPr>
            <w:rStyle w:val="Hyperlink"/>
            <w:sz w:val="24"/>
            <w:lang w:val="en-US"/>
          </w:rPr>
          <w:t>https://pmc.ncbi.nlm.nih.gov/articles/PMC6467562/</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The impact of measles immunization campaigns in India using a nationally representative sample of 27,000 child deaths | </w:t>
      </w:r>
      <w:proofErr w:type="spellStart"/>
      <w:r w:rsidRPr="00774A01">
        <w:rPr>
          <w:sz w:val="24"/>
          <w:lang w:val="en-US"/>
        </w:rPr>
        <w:t>eLife</w:t>
      </w:r>
      <w:proofErr w:type="spellEnd"/>
      <w:r w:rsidRPr="00774A01">
        <w:rPr>
          <w:sz w:val="24"/>
          <w:lang w:val="en-US"/>
        </w:rPr>
        <w:t xml:space="preserve">, accessed on October 17, 2025, </w:t>
      </w:r>
      <w:hyperlink r:id="rId31">
        <w:r w:rsidRPr="00774A01">
          <w:rPr>
            <w:rStyle w:val="Hyperlink"/>
            <w:sz w:val="24"/>
            <w:lang w:val="en-US"/>
          </w:rPr>
          <w:t>https://elifesciences.org/articles/43290</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Public health facility quality and child immunization outcomes in rural India: A decomposition analysis - </w:t>
      </w:r>
      <w:proofErr w:type="spellStart"/>
      <w:r w:rsidRPr="00774A01">
        <w:rPr>
          <w:sz w:val="24"/>
          <w:lang w:val="en-US"/>
        </w:rPr>
        <w:t>PubMed</w:t>
      </w:r>
      <w:proofErr w:type="spellEnd"/>
      <w:r w:rsidRPr="00774A01">
        <w:rPr>
          <w:sz w:val="24"/>
          <w:lang w:val="en-US"/>
        </w:rPr>
        <w:t xml:space="preserve"> Central, accessed on October 17, 2025, </w:t>
      </w:r>
      <w:hyperlink r:id="rId32">
        <w:r w:rsidRPr="00774A01">
          <w:rPr>
            <w:rStyle w:val="Hyperlink"/>
            <w:sz w:val="24"/>
            <w:lang w:val="en-US"/>
          </w:rPr>
          <w:t>https://pmc.ncbi.nlm.nih.gov/articles/PMC8996686/</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Vaccination coverage and vaccine hesitancy among vulnerable population of India - PMC - </w:t>
      </w:r>
      <w:proofErr w:type="spellStart"/>
      <w:r w:rsidRPr="00774A01">
        <w:rPr>
          <w:sz w:val="24"/>
          <w:lang w:val="en-US"/>
        </w:rPr>
        <w:t>PubMed</w:t>
      </w:r>
      <w:proofErr w:type="spellEnd"/>
      <w:r w:rsidRPr="00774A01">
        <w:rPr>
          <w:sz w:val="24"/>
          <w:lang w:val="en-US"/>
        </w:rPr>
        <w:t xml:space="preserve"> Central, accessed on October 17, 2025, </w:t>
      </w:r>
      <w:hyperlink r:id="rId33">
        <w:r w:rsidRPr="00774A01">
          <w:rPr>
            <w:rStyle w:val="Hyperlink"/>
            <w:sz w:val="24"/>
            <w:lang w:val="en-US"/>
          </w:rPr>
          <w:t>https://pmc.ncbi.nlm.nih.gov/articles/PMC7482787/</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Exploring landscape of measles vaccination coverage: A step towards measles elimination goal in India - </w:t>
      </w:r>
      <w:proofErr w:type="spellStart"/>
      <w:r w:rsidRPr="00774A01">
        <w:rPr>
          <w:sz w:val="24"/>
          <w:lang w:val="en-US"/>
        </w:rPr>
        <w:t>PubMed</w:t>
      </w:r>
      <w:proofErr w:type="spellEnd"/>
      <w:r w:rsidRPr="00774A01">
        <w:rPr>
          <w:sz w:val="24"/>
          <w:lang w:val="en-US"/>
        </w:rPr>
        <w:t xml:space="preserve">, accessed on October 17, 2025, </w:t>
      </w:r>
      <w:hyperlink r:id="rId34">
        <w:r w:rsidRPr="00774A01">
          <w:rPr>
            <w:rStyle w:val="Hyperlink"/>
            <w:sz w:val="24"/>
            <w:lang w:val="en-US"/>
          </w:rPr>
          <w:t>https://pubmed.ncbi.nlm.nih.gov/38704248/</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Risk Factors for Measles Outbreak in </w:t>
      </w:r>
      <w:proofErr w:type="spellStart"/>
      <w:r w:rsidRPr="00774A01">
        <w:rPr>
          <w:sz w:val="24"/>
          <w:lang w:val="en-US"/>
        </w:rPr>
        <w:t>Pune</w:t>
      </w:r>
      <w:proofErr w:type="spellEnd"/>
      <w:r w:rsidRPr="00774A01">
        <w:rPr>
          <w:sz w:val="24"/>
          <w:lang w:val="en-US"/>
        </w:rPr>
        <w:t xml:space="preserve"> City: A Case-Control Study, accessed on October 17, 2025, </w:t>
      </w:r>
      <w:hyperlink r:id="rId35">
        <w:r w:rsidRPr="00774A01">
          <w:rPr>
            <w:rStyle w:val="Hyperlink"/>
            <w:sz w:val="24"/>
            <w:lang w:val="en-US"/>
          </w:rPr>
          <w:t>https://pubmed.ncbi.nlm.nih.gov/40964759/</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Factors precipitating outbreaks of measles in district </w:t>
      </w:r>
      <w:proofErr w:type="spellStart"/>
      <w:r w:rsidRPr="00774A01">
        <w:rPr>
          <w:sz w:val="24"/>
          <w:lang w:val="en-US"/>
        </w:rPr>
        <w:t>Kangra</w:t>
      </w:r>
      <w:proofErr w:type="spellEnd"/>
      <w:r w:rsidRPr="00774A01">
        <w:rPr>
          <w:sz w:val="24"/>
          <w:lang w:val="en-US"/>
        </w:rPr>
        <w:t xml:space="preserve"> of North India: A case-control study, accessed on October 17, 2025, </w:t>
      </w:r>
      <w:hyperlink r:id="rId36">
        <w:r w:rsidRPr="00774A01">
          <w:rPr>
            <w:rStyle w:val="Hyperlink"/>
            <w:sz w:val="24"/>
            <w:lang w:val="en-US"/>
          </w:rPr>
          <w:t>https://pmc.ncbi.nlm.nih.gov/articles/PMC3657943/</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Population-Level Risk Factors Related to Measles Case Fatality: A Conceptual Framework Based on Expert Consultation and Literature Review - PMC, accessed on October 17, 2025, </w:t>
      </w:r>
      <w:hyperlink r:id="rId37">
        <w:r w:rsidRPr="00774A01">
          <w:rPr>
            <w:rStyle w:val="Hyperlink"/>
            <w:sz w:val="24"/>
            <w:lang w:val="en-US"/>
          </w:rPr>
          <w:t>https://pmc.ncbi.nlm.nih.gov/articles/PMC10458804/</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Investigation of an outbreak of measles: failure to vaccinate or ..., accessed on October 17, 2025, </w:t>
      </w:r>
      <w:hyperlink r:id="rId38">
        <w:r w:rsidRPr="00774A01">
          <w:rPr>
            <w:rStyle w:val="Hyperlink"/>
            <w:sz w:val="24"/>
            <w:lang w:val="en-US"/>
          </w:rPr>
          <w:t>https://pubmed.ncbi.nlm.nih.gov/25155071/</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Measles Elimination in India—Shifting Goal Post - PMC, accessed on October 17, 2025, </w:t>
      </w:r>
      <w:hyperlink r:id="rId39">
        <w:r w:rsidRPr="00774A01">
          <w:rPr>
            <w:rStyle w:val="Hyperlink"/>
            <w:sz w:val="24"/>
            <w:lang w:val="en-US"/>
          </w:rPr>
          <w:t>https://pmc.ncbi.nlm.nih.gov/articles/PMC9893201/</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Optimal timing of measles vaccination in high-risk areas: Insights from MR-1 administration and subsequent dosing efficacy - PMC - </w:t>
      </w:r>
      <w:proofErr w:type="spellStart"/>
      <w:r w:rsidRPr="00774A01">
        <w:rPr>
          <w:sz w:val="24"/>
          <w:lang w:val="en-US"/>
        </w:rPr>
        <w:t>PubMed</w:t>
      </w:r>
      <w:proofErr w:type="spellEnd"/>
      <w:r w:rsidRPr="00774A01">
        <w:rPr>
          <w:sz w:val="24"/>
          <w:lang w:val="en-US"/>
        </w:rPr>
        <w:t xml:space="preserve"> Central, accessed on </w:t>
      </w:r>
      <w:r w:rsidRPr="00774A01">
        <w:rPr>
          <w:sz w:val="24"/>
          <w:lang w:val="en-US"/>
        </w:rPr>
        <w:lastRenderedPageBreak/>
        <w:t xml:space="preserve">October 17, 2025, </w:t>
      </w:r>
      <w:hyperlink r:id="rId40">
        <w:r w:rsidRPr="00774A01">
          <w:rPr>
            <w:rStyle w:val="Hyperlink"/>
            <w:sz w:val="24"/>
            <w:lang w:val="en-US"/>
          </w:rPr>
          <w:t>https://pmc.ncbi.nlm.nih.gov/articles/PMC10730049/</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Coverage survey of Measles-Rubella mass vaccination campaign in ..., accessed on October 17, 2025, </w:t>
      </w:r>
      <w:hyperlink r:id="rId41">
        <w:r w:rsidRPr="00774A01">
          <w:rPr>
            <w:rStyle w:val="Hyperlink"/>
            <w:sz w:val="24"/>
            <w:lang w:val="en-US"/>
          </w:rPr>
          <w:t>https://pmc.ncbi.nlm.nih.gov/articles/PMC6618239/</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Post-campaign coverage evaluation of a measles and rubella supplementary immunization activity in five districts in India, 2019-2020 - </w:t>
      </w:r>
      <w:proofErr w:type="spellStart"/>
      <w:r w:rsidRPr="00774A01">
        <w:rPr>
          <w:sz w:val="24"/>
          <w:lang w:val="en-US"/>
        </w:rPr>
        <w:t>PubMed</w:t>
      </w:r>
      <w:proofErr w:type="spellEnd"/>
      <w:r w:rsidRPr="00774A01">
        <w:rPr>
          <w:sz w:val="24"/>
          <w:lang w:val="en-US"/>
        </w:rPr>
        <w:t xml:space="preserve">, accessed on October 17, 2025, </w:t>
      </w:r>
      <w:hyperlink r:id="rId42">
        <w:r w:rsidRPr="00774A01">
          <w:rPr>
            <w:rStyle w:val="Hyperlink"/>
            <w:sz w:val="24"/>
            <w:lang w:val="en-US"/>
          </w:rPr>
          <w:t>https://pubmed.ncbi.nlm.nih.gov/38551928/</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Clinical Overview of Measles - CDC, accessed on October 17, 2025, </w:t>
      </w:r>
      <w:hyperlink r:id="rId43">
        <w:r w:rsidRPr="00774A01">
          <w:rPr>
            <w:rStyle w:val="Hyperlink"/>
            <w:sz w:val="24"/>
            <w:lang w:val="en-US"/>
          </w:rPr>
          <w:t>https://www.cdc.gov/measles/hcp/clinical-overview/index.html</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Measles associated diarrhea and pneumonia in south India - </w:t>
      </w:r>
      <w:proofErr w:type="spellStart"/>
      <w:r w:rsidRPr="00774A01">
        <w:rPr>
          <w:sz w:val="24"/>
          <w:lang w:val="en-US"/>
        </w:rPr>
        <w:t>PubMed</w:t>
      </w:r>
      <w:proofErr w:type="spellEnd"/>
      <w:r w:rsidRPr="00774A01">
        <w:rPr>
          <w:sz w:val="24"/>
          <w:lang w:val="en-US"/>
        </w:rPr>
        <w:t xml:space="preserve">, accessed on October 17, 2025, </w:t>
      </w:r>
      <w:hyperlink r:id="rId44">
        <w:r w:rsidRPr="00774A01">
          <w:rPr>
            <w:rStyle w:val="Hyperlink"/>
            <w:sz w:val="24"/>
            <w:lang w:val="en-US"/>
          </w:rPr>
          <w:t>https://pubmed.ncbi.nlm.nih.gov/7883316/</w:t>
        </w:r>
      </w:hyperlink>
    </w:p>
    <w:p w:rsidR="00774A01" w:rsidRPr="00774A01" w:rsidRDefault="00774A01" w:rsidP="00774A01">
      <w:pPr>
        <w:pStyle w:val="ListParagraph"/>
        <w:numPr>
          <w:ilvl w:val="0"/>
          <w:numId w:val="1"/>
        </w:numPr>
        <w:tabs>
          <w:tab w:val="left" w:pos="1843"/>
        </w:tabs>
        <w:spacing w:before="158"/>
        <w:ind w:right="1134" w:hanging="357"/>
        <w:rPr>
          <w:sz w:val="24"/>
          <w:lang w:val="en-US"/>
        </w:rPr>
      </w:pPr>
      <w:r w:rsidRPr="00774A01">
        <w:rPr>
          <w:sz w:val="24"/>
          <w:lang w:val="en-US"/>
        </w:rPr>
        <w:t xml:space="preserve">Public health responses during measles outbreaks in elimination settings: Strategies and challenges - PMC, accessed on October 17, 2025, </w:t>
      </w:r>
      <w:hyperlink r:id="rId45">
        <w:r w:rsidRPr="00774A01">
          <w:rPr>
            <w:rStyle w:val="Hyperlink"/>
            <w:sz w:val="24"/>
            <w:lang w:val="en-US"/>
          </w:rPr>
          <w:t>https://pmc.ncbi.nlm.nih.gov/articles/PMC6207419/</w:t>
        </w:r>
      </w:hyperlink>
    </w:p>
    <w:p w:rsidR="0000535E" w:rsidRDefault="00774A01" w:rsidP="00774A01">
      <w:pPr>
        <w:pStyle w:val="ListParagraph"/>
        <w:numPr>
          <w:ilvl w:val="0"/>
          <w:numId w:val="1"/>
        </w:numPr>
        <w:tabs>
          <w:tab w:val="left" w:pos="1843"/>
        </w:tabs>
        <w:spacing w:before="158"/>
        <w:ind w:right="1134" w:hanging="357"/>
        <w:rPr>
          <w:sz w:val="24"/>
        </w:rPr>
      </w:pPr>
      <w:r w:rsidRPr="00774A01">
        <w:rPr>
          <w:sz w:val="24"/>
          <w:lang w:val="en-US"/>
        </w:rPr>
        <w:t xml:space="preserve">Analysis of Age Appropriate Measles </w:t>
      </w:r>
      <w:proofErr w:type="spellStart"/>
      <w:r w:rsidRPr="00774A01">
        <w:rPr>
          <w:sz w:val="24"/>
          <w:lang w:val="en-US"/>
        </w:rPr>
        <w:t>Immunisation</w:t>
      </w:r>
      <w:proofErr w:type="spellEnd"/>
      <w:r w:rsidRPr="00774A01">
        <w:rPr>
          <w:sz w:val="24"/>
          <w:lang w:val="en-US"/>
        </w:rPr>
        <w:t xml:space="preserve"> among the Eligible Children in India, accessed on October 17, 2025, </w:t>
      </w:r>
      <w:hyperlink r:id="rId46">
        <w:r w:rsidRPr="00774A01">
          <w:rPr>
            <w:rStyle w:val="Hyperlink"/>
            <w:sz w:val="24"/>
            <w:lang w:val="en-US"/>
          </w:rPr>
          <w:t>https://pmc.ncbi.nlm.nih.gov/articles/PMC11927836/</w:t>
        </w:r>
      </w:hyperlink>
    </w:p>
    <w:sectPr w:rsidR="0000535E" w:rsidSect="00E10304">
      <w:headerReference w:type="default" r:id="rId47"/>
      <w:pgSz w:w="11910" w:h="16840"/>
      <w:pgMar w:top="980" w:right="0" w:bottom="280" w:left="0" w:header="680" w:footer="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530E" w:rsidRDefault="007A530E" w:rsidP="0000535E">
      <w:r>
        <w:separator/>
      </w:r>
    </w:p>
  </w:endnote>
  <w:endnote w:type="continuationSeparator" w:id="0">
    <w:p w:rsidR="007A530E" w:rsidRDefault="007A530E" w:rsidP="0000535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Google Sans Text">
    <w:charset w:val="00"/>
    <w:family w:val="auto"/>
    <w:pitch w:val="default"/>
    <w:sig w:usb0="00000000" w:usb1="00000000" w:usb2="00000000" w:usb3="00000000" w:csb0="00000000" w:csb1="00000000"/>
  </w:font>
  <w:font w:name="Google Sans">
    <w:altName w:val="Times New Roman"/>
    <w:charset w:val="00"/>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530E" w:rsidRDefault="007A530E" w:rsidP="0000535E">
      <w:r>
        <w:separator/>
      </w:r>
    </w:p>
  </w:footnote>
  <w:footnote w:type="continuationSeparator" w:id="0">
    <w:p w:rsidR="007A530E" w:rsidRDefault="007A530E" w:rsidP="000053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0304" w:rsidRDefault="00E10304" w:rsidP="00E10304">
    <w:pPr>
      <w:spacing w:before="10"/>
      <w:ind w:left="1440"/>
    </w:pPr>
    <w:r>
      <w:rPr>
        <w:i/>
        <w:color w:val="818181"/>
      </w:rPr>
      <w:t>Вестник</w:t>
    </w:r>
    <w:r>
      <w:rPr>
        <w:i/>
        <w:color w:val="818181"/>
        <w:spacing w:val="-11"/>
      </w:rPr>
      <w:t xml:space="preserve"> </w:t>
    </w:r>
    <w:r>
      <w:rPr>
        <w:i/>
        <w:color w:val="818181"/>
      </w:rPr>
      <w:t>ОшГУ.</w:t>
    </w:r>
    <w:r>
      <w:rPr>
        <w:i/>
        <w:color w:val="818181"/>
        <w:spacing w:val="-11"/>
      </w:rPr>
      <w:t xml:space="preserve"> </w:t>
    </w:r>
    <w:r>
      <w:rPr>
        <w:i/>
        <w:color w:val="818181"/>
      </w:rPr>
      <w:t>Медицина</w:t>
    </w:r>
    <w:r>
      <w:rPr>
        <w:color w:val="818181"/>
      </w:rPr>
      <w:t>,</w:t>
    </w:r>
    <w:r>
      <w:rPr>
        <w:color w:val="818181"/>
        <w:spacing w:val="-10"/>
      </w:rPr>
      <w:t xml:space="preserve"> </w:t>
    </w:r>
    <w:r>
      <w:rPr>
        <w:color w:val="818181"/>
        <w:spacing w:val="-2"/>
      </w:rPr>
      <w:t>№2(4)/2024</w:t>
    </w:r>
  </w:p>
  <w:p w:rsidR="00E10304" w:rsidRPr="00E10304" w:rsidRDefault="002A3553">
    <w:pPr>
      <w:pStyle w:val="Header"/>
      <w:rPr>
        <w:lang w:val="en-US"/>
      </w:rPr>
    </w:pPr>
    <w:r>
      <w:rPr>
        <w:noProof/>
        <w:lang w:val="en-US"/>
      </w:rPr>
      <w:pict>
        <v:rect id="docshape4" o:spid="_x0000_s2062" style="position:absolute;margin-left:65.25pt;margin-top:48.2pt;width:484.9pt;height:.7pt;z-index:-251658752;mso-position-horizontal-relative:page;mso-position-vertical-relative:page" fillcolor="black" stroked="f">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35E" w:rsidRDefault="0000535E">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71667E"/>
    <w:multiLevelType w:val="hybridMultilevel"/>
    <w:tmpl w:val="9CFE31EE"/>
    <w:lvl w:ilvl="0" w:tplc="D700DDC6">
      <w:start w:val="1"/>
      <w:numFmt w:val="decimal"/>
      <w:lvlText w:val="%1."/>
      <w:lvlJc w:val="left"/>
      <w:pPr>
        <w:ind w:left="1843"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7936B286">
      <w:numFmt w:val="bullet"/>
      <w:lvlText w:val="•"/>
      <w:lvlJc w:val="left"/>
      <w:pPr>
        <w:ind w:left="2846" w:hanging="360"/>
      </w:pPr>
      <w:rPr>
        <w:rFonts w:hint="default"/>
        <w:lang w:val="ru-RU" w:eastAsia="en-US" w:bidi="ar-SA"/>
      </w:rPr>
    </w:lvl>
    <w:lvl w:ilvl="2" w:tplc="465218D2">
      <w:numFmt w:val="bullet"/>
      <w:lvlText w:val="•"/>
      <w:lvlJc w:val="left"/>
      <w:pPr>
        <w:ind w:left="3853" w:hanging="360"/>
      </w:pPr>
      <w:rPr>
        <w:rFonts w:hint="default"/>
        <w:lang w:val="ru-RU" w:eastAsia="en-US" w:bidi="ar-SA"/>
      </w:rPr>
    </w:lvl>
    <w:lvl w:ilvl="3" w:tplc="91448B06">
      <w:numFmt w:val="bullet"/>
      <w:lvlText w:val="•"/>
      <w:lvlJc w:val="left"/>
      <w:pPr>
        <w:ind w:left="4859" w:hanging="360"/>
      </w:pPr>
      <w:rPr>
        <w:rFonts w:hint="default"/>
        <w:lang w:val="ru-RU" w:eastAsia="en-US" w:bidi="ar-SA"/>
      </w:rPr>
    </w:lvl>
    <w:lvl w:ilvl="4" w:tplc="C4FC794C">
      <w:numFmt w:val="bullet"/>
      <w:lvlText w:val="•"/>
      <w:lvlJc w:val="left"/>
      <w:pPr>
        <w:ind w:left="5866" w:hanging="360"/>
      </w:pPr>
      <w:rPr>
        <w:rFonts w:hint="default"/>
        <w:lang w:val="ru-RU" w:eastAsia="en-US" w:bidi="ar-SA"/>
      </w:rPr>
    </w:lvl>
    <w:lvl w:ilvl="5" w:tplc="E8B29FD2">
      <w:numFmt w:val="bullet"/>
      <w:lvlText w:val="•"/>
      <w:lvlJc w:val="left"/>
      <w:pPr>
        <w:ind w:left="6873" w:hanging="360"/>
      </w:pPr>
      <w:rPr>
        <w:rFonts w:hint="default"/>
        <w:lang w:val="ru-RU" w:eastAsia="en-US" w:bidi="ar-SA"/>
      </w:rPr>
    </w:lvl>
    <w:lvl w:ilvl="6" w:tplc="D83ABC24">
      <w:numFmt w:val="bullet"/>
      <w:lvlText w:val="•"/>
      <w:lvlJc w:val="left"/>
      <w:pPr>
        <w:ind w:left="7879" w:hanging="360"/>
      </w:pPr>
      <w:rPr>
        <w:rFonts w:hint="default"/>
        <w:lang w:val="ru-RU" w:eastAsia="en-US" w:bidi="ar-SA"/>
      </w:rPr>
    </w:lvl>
    <w:lvl w:ilvl="7" w:tplc="46B289F4">
      <w:numFmt w:val="bullet"/>
      <w:lvlText w:val="•"/>
      <w:lvlJc w:val="left"/>
      <w:pPr>
        <w:ind w:left="8886" w:hanging="360"/>
      </w:pPr>
      <w:rPr>
        <w:rFonts w:hint="default"/>
        <w:lang w:val="ru-RU" w:eastAsia="en-US" w:bidi="ar-SA"/>
      </w:rPr>
    </w:lvl>
    <w:lvl w:ilvl="8" w:tplc="C9B238F6">
      <w:numFmt w:val="bullet"/>
      <w:lvlText w:val="•"/>
      <w:lvlJc w:val="left"/>
      <w:pPr>
        <w:ind w:left="9893" w:hanging="360"/>
      </w:pPr>
      <w:rPr>
        <w:rFonts w:hint="default"/>
        <w:lang w:val="ru-RU" w:eastAsia="en-US" w:bidi="ar-SA"/>
      </w:rPr>
    </w:lvl>
  </w:abstractNum>
  <w:abstractNum w:abstractNumId="1">
    <w:nsid w:val="20DE0A1D"/>
    <w:multiLevelType w:val="multilevel"/>
    <w:tmpl w:val="579C7D4E"/>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
    <w:nsid w:val="381704FF"/>
    <w:multiLevelType w:val="multilevel"/>
    <w:tmpl w:val="9800D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4A3707B"/>
    <w:multiLevelType w:val="multilevel"/>
    <w:tmpl w:val="E9C82F9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4">
    <w:nsid w:val="5B0F08DA"/>
    <w:multiLevelType w:val="multilevel"/>
    <w:tmpl w:val="73109424"/>
    <w:lvl w:ilvl="0">
      <w:start w:val="1"/>
      <w:numFmt w:val="decimal"/>
      <w:lvlText w:val="%1."/>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
    <w:nsid w:val="5F6D12AC"/>
    <w:multiLevelType w:val="multilevel"/>
    <w:tmpl w:val="011A86EE"/>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
    <w:nsid w:val="5F823D0F"/>
    <w:multiLevelType w:val="multilevel"/>
    <w:tmpl w:val="50EE4D34"/>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7">
    <w:nsid w:val="6B1F5B74"/>
    <w:multiLevelType w:val="multilevel"/>
    <w:tmpl w:val="740A1D0A"/>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num w:numId="1">
    <w:abstractNumId w:val="0"/>
  </w:num>
  <w:num w:numId="2">
    <w:abstractNumId w:val="6"/>
  </w:num>
  <w:num w:numId="3">
    <w:abstractNumId w:val="1"/>
  </w:num>
  <w:num w:numId="4">
    <w:abstractNumId w:val="5"/>
  </w:num>
  <w:num w:numId="5">
    <w:abstractNumId w:val="7"/>
  </w:num>
  <w:num w:numId="6">
    <w:abstractNumId w:val="3"/>
  </w:num>
  <w:num w:numId="7">
    <w:abstractNumId w:val="4"/>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evenAndOddHeaders/>
  <w:drawingGridHorizontalSpacing w:val="110"/>
  <w:displayHorizontalDrawingGridEvery w:val="2"/>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ulTrailSpace/>
    <w:shapeLayoutLikeWW8/>
  </w:compat>
  <w:rsids>
    <w:rsidRoot w:val="0000535E"/>
    <w:rsid w:val="0000535E"/>
    <w:rsid w:val="0004078F"/>
    <w:rsid w:val="00044E22"/>
    <w:rsid w:val="00077062"/>
    <w:rsid w:val="001C6067"/>
    <w:rsid w:val="002179A3"/>
    <w:rsid w:val="002A3553"/>
    <w:rsid w:val="003F3655"/>
    <w:rsid w:val="004412E9"/>
    <w:rsid w:val="00475647"/>
    <w:rsid w:val="005340F0"/>
    <w:rsid w:val="00562A67"/>
    <w:rsid w:val="00570398"/>
    <w:rsid w:val="005966C6"/>
    <w:rsid w:val="006B5D0D"/>
    <w:rsid w:val="00774A01"/>
    <w:rsid w:val="007A530E"/>
    <w:rsid w:val="007F5212"/>
    <w:rsid w:val="00806F71"/>
    <w:rsid w:val="0095522B"/>
    <w:rsid w:val="009D7A54"/>
    <w:rsid w:val="009E0D45"/>
    <w:rsid w:val="00A24AF0"/>
    <w:rsid w:val="00A46679"/>
    <w:rsid w:val="00AB4A77"/>
    <w:rsid w:val="00AF68D6"/>
    <w:rsid w:val="00BD5A01"/>
    <w:rsid w:val="00C61C96"/>
    <w:rsid w:val="00D6561B"/>
    <w:rsid w:val="00D673E9"/>
    <w:rsid w:val="00DA6740"/>
    <w:rsid w:val="00E10304"/>
    <w:rsid w:val="00F352F6"/>
    <w:rsid w:val="00F56A40"/>
    <w:rsid w:val="00F96698"/>
    <w:rsid w:val="00FA148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00535E"/>
    <w:rPr>
      <w:rFonts w:ascii="Times New Roman" w:eastAsia="Times New Roman" w:hAnsi="Times New Roman" w:cs="Times New Roman"/>
      <w:lang w:val="ru-RU"/>
    </w:rPr>
  </w:style>
  <w:style w:type="paragraph" w:styleId="Heading1">
    <w:name w:val="heading 1"/>
    <w:basedOn w:val="Normal"/>
    <w:uiPriority w:val="1"/>
    <w:qFormat/>
    <w:rsid w:val="0000535E"/>
    <w:pPr>
      <w:ind w:left="1115"/>
      <w:outlineLvl w:val="0"/>
    </w:pPr>
    <w:rPr>
      <w:b/>
      <w:bCs/>
      <w:sz w:val="24"/>
      <w:szCs w:val="24"/>
    </w:rPr>
  </w:style>
  <w:style w:type="paragraph" w:styleId="Heading2">
    <w:name w:val="heading 2"/>
    <w:basedOn w:val="Normal"/>
    <w:next w:val="Normal"/>
    <w:link w:val="Heading2Char"/>
    <w:uiPriority w:val="9"/>
    <w:unhideWhenUsed/>
    <w:qFormat/>
    <w:rsid w:val="00A24AF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4667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56A4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00535E"/>
    <w:rPr>
      <w:sz w:val="24"/>
      <w:szCs w:val="24"/>
    </w:rPr>
  </w:style>
  <w:style w:type="paragraph" w:styleId="ListParagraph">
    <w:name w:val="List Paragraph"/>
    <w:basedOn w:val="Normal"/>
    <w:uiPriority w:val="1"/>
    <w:qFormat/>
    <w:rsid w:val="0000535E"/>
    <w:pPr>
      <w:ind w:left="1843" w:hanging="360"/>
      <w:jc w:val="both"/>
    </w:pPr>
  </w:style>
  <w:style w:type="paragraph" w:customStyle="1" w:styleId="TableParagraph">
    <w:name w:val="Table Paragraph"/>
    <w:basedOn w:val="Normal"/>
    <w:uiPriority w:val="1"/>
    <w:qFormat/>
    <w:rsid w:val="0000535E"/>
    <w:pPr>
      <w:ind w:left="107"/>
    </w:pPr>
  </w:style>
  <w:style w:type="character" w:styleId="Hyperlink">
    <w:name w:val="Hyperlink"/>
    <w:basedOn w:val="DefaultParagraphFont"/>
    <w:uiPriority w:val="99"/>
    <w:unhideWhenUsed/>
    <w:rsid w:val="0095522B"/>
    <w:rPr>
      <w:color w:val="0000FF" w:themeColor="hyperlink"/>
      <w:u w:val="single"/>
    </w:rPr>
  </w:style>
  <w:style w:type="character" w:customStyle="1" w:styleId="Heading2Char">
    <w:name w:val="Heading 2 Char"/>
    <w:basedOn w:val="DefaultParagraphFont"/>
    <w:link w:val="Heading2"/>
    <w:uiPriority w:val="9"/>
    <w:rsid w:val="00A24AF0"/>
    <w:rPr>
      <w:rFonts w:asciiTheme="majorHAnsi" w:eastAsiaTheme="majorEastAsia" w:hAnsiTheme="majorHAnsi" w:cstheme="majorBidi"/>
      <w:b/>
      <w:bCs/>
      <w:color w:val="4F81BD" w:themeColor="accent1"/>
      <w:sz w:val="26"/>
      <w:szCs w:val="26"/>
      <w:lang w:val="ru-RU"/>
    </w:rPr>
  </w:style>
  <w:style w:type="character" w:styleId="Emphasis">
    <w:name w:val="Emphasis"/>
    <w:basedOn w:val="DefaultParagraphFont"/>
    <w:uiPriority w:val="20"/>
    <w:qFormat/>
    <w:rsid w:val="00DA6740"/>
    <w:rPr>
      <w:i/>
      <w:iCs/>
    </w:rPr>
  </w:style>
  <w:style w:type="character" w:customStyle="1" w:styleId="ms-1">
    <w:name w:val="ms-1"/>
    <w:basedOn w:val="DefaultParagraphFont"/>
    <w:rsid w:val="00DA6740"/>
  </w:style>
  <w:style w:type="character" w:customStyle="1" w:styleId="max-w-15ch">
    <w:name w:val="max-w-[15ch]"/>
    <w:basedOn w:val="DefaultParagraphFont"/>
    <w:rsid w:val="00DA6740"/>
  </w:style>
  <w:style w:type="character" w:customStyle="1" w:styleId="-me-1">
    <w:name w:val="-me-1"/>
    <w:basedOn w:val="DefaultParagraphFont"/>
    <w:rsid w:val="00DA6740"/>
  </w:style>
  <w:style w:type="character" w:styleId="Strong">
    <w:name w:val="Strong"/>
    <w:basedOn w:val="DefaultParagraphFont"/>
    <w:uiPriority w:val="22"/>
    <w:qFormat/>
    <w:rsid w:val="00DA6740"/>
    <w:rPr>
      <w:b/>
      <w:bCs/>
    </w:rPr>
  </w:style>
  <w:style w:type="paragraph" w:styleId="Header">
    <w:name w:val="header"/>
    <w:basedOn w:val="Normal"/>
    <w:link w:val="HeaderChar"/>
    <w:uiPriority w:val="99"/>
    <w:semiHidden/>
    <w:unhideWhenUsed/>
    <w:rsid w:val="00DA6740"/>
    <w:pPr>
      <w:tabs>
        <w:tab w:val="center" w:pos="4680"/>
        <w:tab w:val="right" w:pos="9360"/>
      </w:tabs>
    </w:pPr>
  </w:style>
  <w:style w:type="character" w:customStyle="1" w:styleId="HeaderChar">
    <w:name w:val="Header Char"/>
    <w:basedOn w:val="DefaultParagraphFont"/>
    <w:link w:val="Header"/>
    <w:uiPriority w:val="99"/>
    <w:semiHidden/>
    <w:rsid w:val="00DA6740"/>
    <w:rPr>
      <w:rFonts w:ascii="Times New Roman" w:eastAsia="Times New Roman" w:hAnsi="Times New Roman" w:cs="Times New Roman"/>
      <w:lang w:val="ru-RU"/>
    </w:rPr>
  </w:style>
  <w:style w:type="paragraph" w:styleId="Footer">
    <w:name w:val="footer"/>
    <w:basedOn w:val="Normal"/>
    <w:link w:val="FooterChar"/>
    <w:uiPriority w:val="99"/>
    <w:semiHidden/>
    <w:unhideWhenUsed/>
    <w:rsid w:val="00DA6740"/>
    <w:pPr>
      <w:tabs>
        <w:tab w:val="center" w:pos="4680"/>
        <w:tab w:val="right" w:pos="9360"/>
      </w:tabs>
    </w:pPr>
  </w:style>
  <w:style w:type="character" w:customStyle="1" w:styleId="FooterChar">
    <w:name w:val="Footer Char"/>
    <w:basedOn w:val="DefaultParagraphFont"/>
    <w:link w:val="Footer"/>
    <w:uiPriority w:val="99"/>
    <w:semiHidden/>
    <w:rsid w:val="00DA6740"/>
    <w:rPr>
      <w:rFonts w:ascii="Times New Roman" w:eastAsia="Times New Roman" w:hAnsi="Times New Roman" w:cs="Times New Roman"/>
      <w:lang w:val="ru-RU"/>
    </w:rPr>
  </w:style>
  <w:style w:type="paragraph" w:customStyle="1" w:styleId="normal0">
    <w:name w:val="normal"/>
    <w:rsid w:val="00077062"/>
    <w:pPr>
      <w:autoSpaceDE/>
      <w:autoSpaceDN/>
    </w:pPr>
    <w:rPr>
      <w:rFonts w:ascii="Arial" w:eastAsia="Arial" w:hAnsi="Arial" w:cs="Arial"/>
    </w:rPr>
  </w:style>
  <w:style w:type="table" w:customStyle="1" w:styleId="LightShading1">
    <w:name w:val="Light Shading1"/>
    <w:basedOn w:val="TableNormal"/>
    <w:uiPriority w:val="60"/>
    <w:rsid w:val="00077062"/>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0770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A46679"/>
    <w:rPr>
      <w:rFonts w:asciiTheme="majorHAnsi" w:eastAsiaTheme="majorEastAsia" w:hAnsiTheme="majorHAnsi" w:cstheme="majorBidi"/>
      <w:b/>
      <w:bCs/>
      <w:color w:val="4F81BD" w:themeColor="accent1"/>
      <w:lang w:val="ru-RU"/>
    </w:rPr>
  </w:style>
  <w:style w:type="character" w:customStyle="1" w:styleId="Heading4Char">
    <w:name w:val="Heading 4 Char"/>
    <w:basedOn w:val="DefaultParagraphFont"/>
    <w:link w:val="Heading4"/>
    <w:uiPriority w:val="9"/>
    <w:semiHidden/>
    <w:rsid w:val="00F56A40"/>
    <w:rPr>
      <w:rFonts w:asciiTheme="majorHAnsi" w:eastAsiaTheme="majorEastAsia" w:hAnsiTheme="majorHAnsi" w:cstheme="majorBidi"/>
      <w:b/>
      <w:bCs/>
      <w:i/>
      <w:iCs/>
      <w:color w:val="4F81BD" w:themeColor="accent1"/>
      <w:lang w:val="ru-RU"/>
    </w:rPr>
  </w:style>
  <w:style w:type="paragraph" w:styleId="HTMLPreformatted">
    <w:name w:val="HTML Preformatted"/>
    <w:basedOn w:val="Normal"/>
    <w:link w:val="HTMLPreformattedChar"/>
    <w:uiPriority w:val="99"/>
    <w:semiHidden/>
    <w:unhideWhenUsed/>
    <w:rsid w:val="007F521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7F5212"/>
    <w:rPr>
      <w:rFonts w:ascii="Consolas" w:eastAsia="Times New Roman" w:hAnsi="Consolas" w:cs="Times New Roman"/>
      <w:sz w:val="20"/>
      <w:szCs w:val="20"/>
      <w:lang w:val="ru-RU"/>
    </w:rPr>
  </w:style>
  <w:style w:type="paragraph" w:styleId="NormalWeb">
    <w:name w:val="Normal (Web)"/>
    <w:basedOn w:val="Normal"/>
    <w:uiPriority w:val="99"/>
    <w:semiHidden/>
    <w:unhideWhenUsed/>
    <w:rsid w:val="005966C6"/>
    <w:rPr>
      <w:sz w:val="24"/>
      <w:szCs w:val="24"/>
    </w:rPr>
  </w:style>
  <w:style w:type="paragraph" w:styleId="BalloonText">
    <w:name w:val="Balloon Text"/>
    <w:basedOn w:val="Normal"/>
    <w:link w:val="BalloonTextChar"/>
    <w:uiPriority w:val="99"/>
    <w:semiHidden/>
    <w:unhideWhenUsed/>
    <w:rsid w:val="009E0D45"/>
    <w:rPr>
      <w:rFonts w:ascii="Tahoma" w:hAnsi="Tahoma" w:cs="Tahoma"/>
      <w:sz w:val="16"/>
      <w:szCs w:val="16"/>
    </w:rPr>
  </w:style>
  <w:style w:type="character" w:customStyle="1" w:styleId="BalloonTextChar">
    <w:name w:val="Balloon Text Char"/>
    <w:basedOn w:val="DefaultParagraphFont"/>
    <w:link w:val="BalloonText"/>
    <w:uiPriority w:val="99"/>
    <w:semiHidden/>
    <w:rsid w:val="009E0D45"/>
    <w:rPr>
      <w:rFonts w:ascii="Tahoma" w:eastAsia="Times New Roman" w:hAnsi="Tahoma" w:cs="Tahoma"/>
      <w:sz w:val="16"/>
      <w:szCs w:val="16"/>
      <w:lang w:val="ru-RU"/>
    </w:rPr>
  </w:style>
</w:styles>
</file>

<file path=word/webSettings.xml><?xml version="1.0" encoding="utf-8"?>
<w:webSettings xmlns:r="http://schemas.openxmlformats.org/officeDocument/2006/relationships" xmlns:w="http://schemas.openxmlformats.org/wordprocessingml/2006/main">
  <w:divs>
    <w:div w:id="113791349">
      <w:bodyDiv w:val="1"/>
      <w:marLeft w:val="0"/>
      <w:marRight w:val="0"/>
      <w:marTop w:val="0"/>
      <w:marBottom w:val="0"/>
      <w:divBdr>
        <w:top w:val="none" w:sz="0" w:space="0" w:color="auto"/>
        <w:left w:val="none" w:sz="0" w:space="0" w:color="auto"/>
        <w:bottom w:val="none" w:sz="0" w:space="0" w:color="auto"/>
        <w:right w:val="none" w:sz="0" w:space="0" w:color="auto"/>
      </w:divBdr>
    </w:div>
    <w:div w:id="190845032">
      <w:bodyDiv w:val="1"/>
      <w:marLeft w:val="0"/>
      <w:marRight w:val="0"/>
      <w:marTop w:val="0"/>
      <w:marBottom w:val="0"/>
      <w:divBdr>
        <w:top w:val="none" w:sz="0" w:space="0" w:color="auto"/>
        <w:left w:val="none" w:sz="0" w:space="0" w:color="auto"/>
        <w:bottom w:val="none" w:sz="0" w:space="0" w:color="auto"/>
        <w:right w:val="none" w:sz="0" w:space="0" w:color="auto"/>
      </w:divBdr>
    </w:div>
    <w:div w:id="232396930">
      <w:bodyDiv w:val="1"/>
      <w:marLeft w:val="0"/>
      <w:marRight w:val="0"/>
      <w:marTop w:val="0"/>
      <w:marBottom w:val="0"/>
      <w:divBdr>
        <w:top w:val="none" w:sz="0" w:space="0" w:color="auto"/>
        <w:left w:val="none" w:sz="0" w:space="0" w:color="auto"/>
        <w:bottom w:val="none" w:sz="0" w:space="0" w:color="auto"/>
        <w:right w:val="none" w:sz="0" w:space="0" w:color="auto"/>
      </w:divBdr>
    </w:div>
    <w:div w:id="375858215">
      <w:bodyDiv w:val="1"/>
      <w:marLeft w:val="0"/>
      <w:marRight w:val="0"/>
      <w:marTop w:val="0"/>
      <w:marBottom w:val="0"/>
      <w:divBdr>
        <w:top w:val="none" w:sz="0" w:space="0" w:color="auto"/>
        <w:left w:val="none" w:sz="0" w:space="0" w:color="auto"/>
        <w:bottom w:val="none" w:sz="0" w:space="0" w:color="auto"/>
        <w:right w:val="none" w:sz="0" w:space="0" w:color="auto"/>
      </w:divBdr>
      <w:divsChild>
        <w:div w:id="20397838">
          <w:marLeft w:val="0"/>
          <w:marRight w:val="0"/>
          <w:marTop w:val="0"/>
          <w:marBottom w:val="0"/>
          <w:divBdr>
            <w:top w:val="none" w:sz="0" w:space="0" w:color="auto"/>
            <w:left w:val="none" w:sz="0" w:space="0" w:color="auto"/>
            <w:bottom w:val="none" w:sz="0" w:space="0" w:color="auto"/>
            <w:right w:val="none" w:sz="0" w:space="0" w:color="auto"/>
          </w:divBdr>
          <w:divsChild>
            <w:div w:id="1347757229">
              <w:marLeft w:val="0"/>
              <w:marRight w:val="0"/>
              <w:marTop w:val="0"/>
              <w:marBottom w:val="0"/>
              <w:divBdr>
                <w:top w:val="none" w:sz="0" w:space="0" w:color="auto"/>
                <w:left w:val="none" w:sz="0" w:space="0" w:color="auto"/>
                <w:bottom w:val="none" w:sz="0" w:space="0" w:color="auto"/>
                <w:right w:val="none" w:sz="0" w:space="0" w:color="auto"/>
              </w:divBdr>
              <w:divsChild>
                <w:div w:id="1578904194">
                  <w:marLeft w:val="0"/>
                  <w:marRight w:val="0"/>
                  <w:marTop w:val="0"/>
                  <w:marBottom w:val="0"/>
                  <w:divBdr>
                    <w:top w:val="none" w:sz="0" w:space="0" w:color="auto"/>
                    <w:left w:val="none" w:sz="0" w:space="0" w:color="auto"/>
                    <w:bottom w:val="none" w:sz="0" w:space="0" w:color="auto"/>
                    <w:right w:val="none" w:sz="0" w:space="0" w:color="auto"/>
                  </w:divBdr>
                  <w:divsChild>
                    <w:div w:id="185973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2702296">
      <w:bodyDiv w:val="1"/>
      <w:marLeft w:val="0"/>
      <w:marRight w:val="0"/>
      <w:marTop w:val="0"/>
      <w:marBottom w:val="0"/>
      <w:divBdr>
        <w:top w:val="none" w:sz="0" w:space="0" w:color="auto"/>
        <w:left w:val="none" w:sz="0" w:space="0" w:color="auto"/>
        <w:bottom w:val="none" w:sz="0" w:space="0" w:color="auto"/>
        <w:right w:val="none" w:sz="0" w:space="0" w:color="auto"/>
      </w:divBdr>
    </w:div>
    <w:div w:id="411901654">
      <w:bodyDiv w:val="1"/>
      <w:marLeft w:val="0"/>
      <w:marRight w:val="0"/>
      <w:marTop w:val="0"/>
      <w:marBottom w:val="0"/>
      <w:divBdr>
        <w:top w:val="none" w:sz="0" w:space="0" w:color="auto"/>
        <w:left w:val="none" w:sz="0" w:space="0" w:color="auto"/>
        <w:bottom w:val="none" w:sz="0" w:space="0" w:color="auto"/>
        <w:right w:val="none" w:sz="0" w:space="0" w:color="auto"/>
      </w:divBdr>
    </w:div>
    <w:div w:id="431246892">
      <w:bodyDiv w:val="1"/>
      <w:marLeft w:val="0"/>
      <w:marRight w:val="0"/>
      <w:marTop w:val="0"/>
      <w:marBottom w:val="0"/>
      <w:divBdr>
        <w:top w:val="none" w:sz="0" w:space="0" w:color="auto"/>
        <w:left w:val="none" w:sz="0" w:space="0" w:color="auto"/>
        <w:bottom w:val="none" w:sz="0" w:space="0" w:color="auto"/>
        <w:right w:val="none" w:sz="0" w:space="0" w:color="auto"/>
      </w:divBdr>
    </w:div>
    <w:div w:id="463232472">
      <w:bodyDiv w:val="1"/>
      <w:marLeft w:val="0"/>
      <w:marRight w:val="0"/>
      <w:marTop w:val="0"/>
      <w:marBottom w:val="0"/>
      <w:divBdr>
        <w:top w:val="none" w:sz="0" w:space="0" w:color="auto"/>
        <w:left w:val="none" w:sz="0" w:space="0" w:color="auto"/>
        <w:bottom w:val="none" w:sz="0" w:space="0" w:color="auto"/>
        <w:right w:val="none" w:sz="0" w:space="0" w:color="auto"/>
      </w:divBdr>
    </w:div>
    <w:div w:id="510603880">
      <w:bodyDiv w:val="1"/>
      <w:marLeft w:val="0"/>
      <w:marRight w:val="0"/>
      <w:marTop w:val="0"/>
      <w:marBottom w:val="0"/>
      <w:divBdr>
        <w:top w:val="none" w:sz="0" w:space="0" w:color="auto"/>
        <w:left w:val="none" w:sz="0" w:space="0" w:color="auto"/>
        <w:bottom w:val="none" w:sz="0" w:space="0" w:color="auto"/>
        <w:right w:val="none" w:sz="0" w:space="0" w:color="auto"/>
      </w:divBdr>
    </w:div>
    <w:div w:id="530384293">
      <w:bodyDiv w:val="1"/>
      <w:marLeft w:val="0"/>
      <w:marRight w:val="0"/>
      <w:marTop w:val="0"/>
      <w:marBottom w:val="0"/>
      <w:divBdr>
        <w:top w:val="none" w:sz="0" w:space="0" w:color="auto"/>
        <w:left w:val="none" w:sz="0" w:space="0" w:color="auto"/>
        <w:bottom w:val="none" w:sz="0" w:space="0" w:color="auto"/>
        <w:right w:val="none" w:sz="0" w:space="0" w:color="auto"/>
      </w:divBdr>
    </w:div>
    <w:div w:id="572080817">
      <w:bodyDiv w:val="1"/>
      <w:marLeft w:val="0"/>
      <w:marRight w:val="0"/>
      <w:marTop w:val="0"/>
      <w:marBottom w:val="0"/>
      <w:divBdr>
        <w:top w:val="none" w:sz="0" w:space="0" w:color="auto"/>
        <w:left w:val="none" w:sz="0" w:space="0" w:color="auto"/>
        <w:bottom w:val="none" w:sz="0" w:space="0" w:color="auto"/>
        <w:right w:val="none" w:sz="0" w:space="0" w:color="auto"/>
      </w:divBdr>
    </w:div>
    <w:div w:id="639847431">
      <w:bodyDiv w:val="1"/>
      <w:marLeft w:val="0"/>
      <w:marRight w:val="0"/>
      <w:marTop w:val="0"/>
      <w:marBottom w:val="0"/>
      <w:divBdr>
        <w:top w:val="none" w:sz="0" w:space="0" w:color="auto"/>
        <w:left w:val="none" w:sz="0" w:space="0" w:color="auto"/>
        <w:bottom w:val="none" w:sz="0" w:space="0" w:color="auto"/>
        <w:right w:val="none" w:sz="0" w:space="0" w:color="auto"/>
      </w:divBdr>
    </w:div>
    <w:div w:id="747656400">
      <w:bodyDiv w:val="1"/>
      <w:marLeft w:val="0"/>
      <w:marRight w:val="0"/>
      <w:marTop w:val="0"/>
      <w:marBottom w:val="0"/>
      <w:divBdr>
        <w:top w:val="none" w:sz="0" w:space="0" w:color="auto"/>
        <w:left w:val="none" w:sz="0" w:space="0" w:color="auto"/>
        <w:bottom w:val="none" w:sz="0" w:space="0" w:color="auto"/>
        <w:right w:val="none" w:sz="0" w:space="0" w:color="auto"/>
      </w:divBdr>
    </w:div>
    <w:div w:id="796877126">
      <w:bodyDiv w:val="1"/>
      <w:marLeft w:val="0"/>
      <w:marRight w:val="0"/>
      <w:marTop w:val="0"/>
      <w:marBottom w:val="0"/>
      <w:divBdr>
        <w:top w:val="none" w:sz="0" w:space="0" w:color="auto"/>
        <w:left w:val="none" w:sz="0" w:space="0" w:color="auto"/>
        <w:bottom w:val="none" w:sz="0" w:space="0" w:color="auto"/>
        <w:right w:val="none" w:sz="0" w:space="0" w:color="auto"/>
      </w:divBdr>
    </w:div>
    <w:div w:id="982083442">
      <w:bodyDiv w:val="1"/>
      <w:marLeft w:val="0"/>
      <w:marRight w:val="0"/>
      <w:marTop w:val="0"/>
      <w:marBottom w:val="0"/>
      <w:divBdr>
        <w:top w:val="none" w:sz="0" w:space="0" w:color="auto"/>
        <w:left w:val="none" w:sz="0" w:space="0" w:color="auto"/>
        <w:bottom w:val="none" w:sz="0" w:space="0" w:color="auto"/>
        <w:right w:val="none" w:sz="0" w:space="0" w:color="auto"/>
      </w:divBdr>
    </w:div>
    <w:div w:id="1015424632">
      <w:bodyDiv w:val="1"/>
      <w:marLeft w:val="0"/>
      <w:marRight w:val="0"/>
      <w:marTop w:val="0"/>
      <w:marBottom w:val="0"/>
      <w:divBdr>
        <w:top w:val="none" w:sz="0" w:space="0" w:color="auto"/>
        <w:left w:val="none" w:sz="0" w:space="0" w:color="auto"/>
        <w:bottom w:val="none" w:sz="0" w:space="0" w:color="auto"/>
        <w:right w:val="none" w:sz="0" w:space="0" w:color="auto"/>
      </w:divBdr>
    </w:div>
    <w:div w:id="1120227564">
      <w:bodyDiv w:val="1"/>
      <w:marLeft w:val="0"/>
      <w:marRight w:val="0"/>
      <w:marTop w:val="0"/>
      <w:marBottom w:val="0"/>
      <w:divBdr>
        <w:top w:val="none" w:sz="0" w:space="0" w:color="auto"/>
        <w:left w:val="none" w:sz="0" w:space="0" w:color="auto"/>
        <w:bottom w:val="none" w:sz="0" w:space="0" w:color="auto"/>
        <w:right w:val="none" w:sz="0" w:space="0" w:color="auto"/>
      </w:divBdr>
    </w:div>
    <w:div w:id="1139759060">
      <w:bodyDiv w:val="1"/>
      <w:marLeft w:val="0"/>
      <w:marRight w:val="0"/>
      <w:marTop w:val="0"/>
      <w:marBottom w:val="0"/>
      <w:divBdr>
        <w:top w:val="none" w:sz="0" w:space="0" w:color="auto"/>
        <w:left w:val="none" w:sz="0" w:space="0" w:color="auto"/>
        <w:bottom w:val="none" w:sz="0" w:space="0" w:color="auto"/>
        <w:right w:val="none" w:sz="0" w:space="0" w:color="auto"/>
      </w:divBdr>
    </w:div>
    <w:div w:id="1309481353">
      <w:bodyDiv w:val="1"/>
      <w:marLeft w:val="0"/>
      <w:marRight w:val="0"/>
      <w:marTop w:val="0"/>
      <w:marBottom w:val="0"/>
      <w:divBdr>
        <w:top w:val="none" w:sz="0" w:space="0" w:color="auto"/>
        <w:left w:val="none" w:sz="0" w:space="0" w:color="auto"/>
        <w:bottom w:val="none" w:sz="0" w:space="0" w:color="auto"/>
        <w:right w:val="none" w:sz="0" w:space="0" w:color="auto"/>
      </w:divBdr>
    </w:div>
    <w:div w:id="1345093073">
      <w:bodyDiv w:val="1"/>
      <w:marLeft w:val="0"/>
      <w:marRight w:val="0"/>
      <w:marTop w:val="0"/>
      <w:marBottom w:val="0"/>
      <w:divBdr>
        <w:top w:val="none" w:sz="0" w:space="0" w:color="auto"/>
        <w:left w:val="none" w:sz="0" w:space="0" w:color="auto"/>
        <w:bottom w:val="none" w:sz="0" w:space="0" w:color="auto"/>
        <w:right w:val="none" w:sz="0" w:space="0" w:color="auto"/>
      </w:divBdr>
    </w:div>
    <w:div w:id="1363021590">
      <w:bodyDiv w:val="1"/>
      <w:marLeft w:val="0"/>
      <w:marRight w:val="0"/>
      <w:marTop w:val="0"/>
      <w:marBottom w:val="0"/>
      <w:divBdr>
        <w:top w:val="none" w:sz="0" w:space="0" w:color="auto"/>
        <w:left w:val="none" w:sz="0" w:space="0" w:color="auto"/>
        <w:bottom w:val="none" w:sz="0" w:space="0" w:color="auto"/>
        <w:right w:val="none" w:sz="0" w:space="0" w:color="auto"/>
      </w:divBdr>
    </w:div>
    <w:div w:id="1413047853">
      <w:bodyDiv w:val="1"/>
      <w:marLeft w:val="0"/>
      <w:marRight w:val="0"/>
      <w:marTop w:val="0"/>
      <w:marBottom w:val="0"/>
      <w:divBdr>
        <w:top w:val="none" w:sz="0" w:space="0" w:color="auto"/>
        <w:left w:val="none" w:sz="0" w:space="0" w:color="auto"/>
        <w:bottom w:val="none" w:sz="0" w:space="0" w:color="auto"/>
        <w:right w:val="none" w:sz="0" w:space="0" w:color="auto"/>
      </w:divBdr>
    </w:div>
    <w:div w:id="1435513890">
      <w:bodyDiv w:val="1"/>
      <w:marLeft w:val="0"/>
      <w:marRight w:val="0"/>
      <w:marTop w:val="0"/>
      <w:marBottom w:val="0"/>
      <w:divBdr>
        <w:top w:val="none" w:sz="0" w:space="0" w:color="auto"/>
        <w:left w:val="none" w:sz="0" w:space="0" w:color="auto"/>
        <w:bottom w:val="none" w:sz="0" w:space="0" w:color="auto"/>
        <w:right w:val="none" w:sz="0" w:space="0" w:color="auto"/>
      </w:divBdr>
    </w:div>
    <w:div w:id="1671910572">
      <w:bodyDiv w:val="1"/>
      <w:marLeft w:val="0"/>
      <w:marRight w:val="0"/>
      <w:marTop w:val="0"/>
      <w:marBottom w:val="0"/>
      <w:divBdr>
        <w:top w:val="none" w:sz="0" w:space="0" w:color="auto"/>
        <w:left w:val="none" w:sz="0" w:space="0" w:color="auto"/>
        <w:bottom w:val="none" w:sz="0" w:space="0" w:color="auto"/>
        <w:right w:val="none" w:sz="0" w:space="0" w:color="auto"/>
      </w:divBdr>
      <w:divsChild>
        <w:div w:id="1043168328">
          <w:marLeft w:val="0"/>
          <w:marRight w:val="0"/>
          <w:marTop w:val="0"/>
          <w:marBottom w:val="0"/>
          <w:divBdr>
            <w:top w:val="none" w:sz="0" w:space="0" w:color="auto"/>
            <w:left w:val="none" w:sz="0" w:space="0" w:color="auto"/>
            <w:bottom w:val="none" w:sz="0" w:space="0" w:color="auto"/>
            <w:right w:val="none" w:sz="0" w:space="0" w:color="auto"/>
          </w:divBdr>
          <w:divsChild>
            <w:div w:id="952976774">
              <w:marLeft w:val="0"/>
              <w:marRight w:val="0"/>
              <w:marTop w:val="0"/>
              <w:marBottom w:val="0"/>
              <w:divBdr>
                <w:top w:val="none" w:sz="0" w:space="0" w:color="auto"/>
                <w:left w:val="none" w:sz="0" w:space="0" w:color="auto"/>
                <w:bottom w:val="none" w:sz="0" w:space="0" w:color="auto"/>
                <w:right w:val="none" w:sz="0" w:space="0" w:color="auto"/>
              </w:divBdr>
            </w:div>
          </w:divsChild>
        </w:div>
        <w:div w:id="1178736516">
          <w:marLeft w:val="0"/>
          <w:marRight w:val="0"/>
          <w:marTop w:val="0"/>
          <w:marBottom w:val="0"/>
          <w:divBdr>
            <w:top w:val="none" w:sz="0" w:space="0" w:color="auto"/>
            <w:left w:val="none" w:sz="0" w:space="0" w:color="auto"/>
            <w:bottom w:val="none" w:sz="0" w:space="0" w:color="auto"/>
            <w:right w:val="none" w:sz="0" w:space="0" w:color="auto"/>
          </w:divBdr>
          <w:divsChild>
            <w:div w:id="125798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73995">
      <w:bodyDiv w:val="1"/>
      <w:marLeft w:val="0"/>
      <w:marRight w:val="0"/>
      <w:marTop w:val="0"/>
      <w:marBottom w:val="0"/>
      <w:divBdr>
        <w:top w:val="none" w:sz="0" w:space="0" w:color="auto"/>
        <w:left w:val="none" w:sz="0" w:space="0" w:color="auto"/>
        <w:bottom w:val="none" w:sz="0" w:space="0" w:color="auto"/>
        <w:right w:val="none" w:sz="0" w:space="0" w:color="auto"/>
      </w:divBdr>
    </w:div>
    <w:div w:id="1717194769">
      <w:bodyDiv w:val="1"/>
      <w:marLeft w:val="0"/>
      <w:marRight w:val="0"/>
      <w:marTop w:val="0"/>
      <w:marBottom w:val="0"/>
      <w:divBdr>
        <w:top w:val="none" w:sz="0" w:space="0" w:color="auto"/>
        <w:left w:val="none" w:sz="0" w:space="0" w:color="auto"/>
        <w:bottom w:val="none" w:sz="0" w:space="0" w:color="auto"/>
        <w:right w:val="none" w:sz="0" w:space="0" w:color="auto"/>
      </w:divBdr>
    </w:div>
    <w:div w:id="1826119499">
      <w:bodyDiv w:val="1"/>
      <w:marLeft w:val="0"/>
      <w:marRight w:val="0"/>
      <w:marTop w:val="0"/>
      <w:marBottom w:val="0"/>
      <w:divBdr>
        <w:top w:val="none" w:sz="0" w:space="0" w:color="auto"/>
        <w:left w:val="none" w:sz="0" w:space="0" w:color="auto"/>
        <w:bottom w:val="none" w:sz="0" w:space="0" w:color="auto"/>
        <w:right w:val="none" w:sz="0" w:space="0" w:color="auto"/>
      </w:divBdr>
    </w:div>
    <w:div w:id="1889802348">
      <w:bodyDiv w:val="1"/>
      <w:marLeft w:val="0"/>
      <w:marRight w:val="0"/>
      <w:marTop w:val="0"/>
      <w:marBottom w:val="0"/>
      <w:divBdr>
        <w:top w:val="none" w:sz="0" w:space="0" w:color="auto"/>
        <w:left w:val="none" w:sz="0" w:space="0" w:color="auto"/>
        <w:bottom w:val="none" w:sz="0" w:space="0" w:color="auto"/>
        <w:right w:val="none" w:sz="0" w:space="0" w:color="auto"/>
      </w:divBdr>
    </w:div>
    <w:div w:id="1952011656">
      <w:bodyDiv w:val="1"/>
      <w:marLeft w:val="0"/>
      <w:marRight w:val="0"/>
      <w:marTop w:val="0"/>
      <w:marBottom w:val="0"/>
      <w:divBdr>
        <w:top w:val="none" w:sz="0" w:space="0" w:color="auto"/>
        <w:left w:val="none" w:sz="0" w:space="0" w:color="auto"/>
        <w:bottom w:val="none" w:sz="0" w:space="0" w:color="auto"/>
        <w:right w:val="none" w:sz="0" w:space="0" w:color="auto"/>
      </w:divBdr>
    </w:div>
    <w:div w:id="19742101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ncbi.nlm.nih.gov/books/NBK448068/" TargetMode="External"/><Relationship Id="rId18" Type="http://schemas.openxmlformats.org/officeDocument/2006/relationships/hyperlink" Target="https://pmc.ncbi.nlm.nih.gov/articles/PMC5414430/" TargetMode="External"/><Relationship Id="rId26" Type="http://schemas.openxmlformats.org/officeDocument/2006/relationships/hyperlink" Target="https://pmc.ncbi.nlm.nih.gov/articles/PMC10177746/" TargetMode="External"/><Relationship Id="rId39" Type="http://schemas.openxmlformats.org/officeDocument/2006/relationships/hyperlink" Target="https://pmc.ncbi.nlm.nih.gov/articles/PMC9893201/" TargetMode="External"/><Relationship Id="rId3" Type="http://schemas.openxmlformats.org/officeDocument/2006/relationships/styles" Target="styles.xml"/><Relationship Id="rId21" Type="http://schemas.openxmlformats.org/officeDocument/2006/relationships/hyperlink" Target="https://www.researchgate.net/publication/380818356_Decadal_analysis_of_measles_epidemiological_data_in_India_2011-2020" TargetMode="External"/><Relationship Id="rId34" Type="http://schemas.openxmlformats.org/officeDocument/2006/relationships/hyperlink" Target="https://pubmed.ncbi.nlm.nih.gov/38704248/" TargetMode="External"/><Relationship Id="rId42" Type="http://schemas.openxmlformats.org/officeDocument/2006/relationships/hyperlink" Target="https://pubmed.ncbi.nlm.nih.gov/38551928/" TargetMode="External"/><Relationship Id="rId47"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www.cdc.gov/mmwr/volumes/71/wr/mm7150a1.htm" TargetMode="External"/><Relationship Id="rId25" Type="http://schemas.openxmlformats.org/officeDocument/2006/relationships/hyperlink" Target="https://pmc.ncbi.nlm.nih.gov/articles/PMC5353812/" TargetMode="External"/><Relationship Id="rId33" Type="http://schemas.openxmlformats.org/officeDocument/2006/relationships/hyperlink" Target="https://pmc.ncbi.nlm.nih.gov/articles/PMC7482787/" TargetMode="External"/><Relationship Id="rId38" Type="http://schemas.openxmlformats.org/officeDocument/2006/relationships/hyperlink" Target="https://pubmed.ncbi.nlm.nih.gov/25155071/" TargetMode="External"/><Relationship Id="rId46" Type="http://schemas.openxmlformats.org/officeDocument/2006/relationships/hyperlink" Target="https://pmc.ncbi.nlm.nih.gov/articles/PMC11927836/" TargetMode="External"/><Relationship Id="rId2" Type="http://schemas.openxmlformats.org/officeDocument/2006/relationships/numbering" Target="numbering.xml"/><Relationship Id="rId16" Type="http://schemas.openxmlformats.org/officeDocument/2006/relationships/hyperlink" Target="https://pmc.ncbi.nlm.nih.gov/articles/PMC11137336/" TargetMode="External"/><Relationship Id="rId20" Type="http://schemas.openxmlformats.org/officeDocument/2006/relationships/hyperlink" Target="https://pmc.ncbi.nlm.nih.gov/articles/PMC11022250/" TargetMode="External"/><Relationship Id="rId29" Type="http://schemas.openxmlformats.org/officeDocument/2006/relationships/hyperlink" Target="https://pmc.ncbi.nlm.nih.gov/articles/PMC6456291/" TargetMode="External"/><Relationship Id="rId41" Type="http://schemas.openxmlformats.org/officeDocument/2006/relationships/hyperlink" Target="https://pmc.ncbi.nlm.nih.gov/articles/PMC661823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pubmed.ncbi.nlm.nih.gov/6878990/" TargetMode="External"/><Relationship Id="rId32" Type="http://schemas.openxmlformats.org/officeDocument/2006/relationships/hyperlink" Target="https://pmc.ncbi.nlm.nih.gov/articles/PMC8996686/" TargetMode="External"/><Relationship Id="rId37" Type="http://schemas.openxmlformats.org/officeDocument/2006/relationships/hyperlink" Target="https://pmc.ncbi.nlm.nih.gov/articles/PMC10458804/" TargetMode="External"/><Relationship Id="rId40" Type="http://schemas.openxmlformats.org/officeDocument/2006/relationships/hyperlink" Target="https://pmc.ncbi.nlm.nih.gov/articles/PMC10730049/" TargetMode="External"/><Relationship Id="rId45" Type="http://schemas.openxmlformats.org/officeDocument/2006/relationships/hyperlink" Target="https://pmc.ncbi.nlm.nih.gov/articles/PMC6207419/" TargetMode="External"/><Relationship Id="rId5" Type="http://schemas.openxmlformats.org/officeDocument/2006/relationships/webSettings" Target="webSettings.xml"/><Relationship Id="rId15" Type="http://schemas.openxmlformats.org/officeDocument/2006/relationships/hyperlink" Target="https://pmc.ncbi.nlm.nih.gov/articles/PMC11165302/" TargetMode="External"/><Relationship Id="rId23" Type="http://schemas.openxmlformats.org/officeDocument/2006/relationships/hyperlink" Target="https://www.cdc.gov/global-measles-vaccination/data-research/global-measles-outbreaks/index.html" TargetMode="External"/><Relationship Id="rId28" Type="http://schemas.openxmlformats.org/officeDocument/2006/relationships/hyperlink" Target="https://pmc.ncbi.nlm.nih.gov/articles/PMC11281398/" TargetMode="External"/><Relationship Id="rId36" Type="http://schemas.openxmlformats.org/officeDocument/2006/relationships/hyperlink" Target="https://pmc.ncbi.nlm.nih.gov/articles/PMC3657943/" TargetMode="External"/><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s://pubmed.ncbi.nlm.nih.gov/36520657/" TargetMode="External"/><Relationship Id="rId31" Type="http://schemas.openxmlformats.org/officeDocument/2006/relationships/hyperlink" Target="https://elifesciences.org/articles/43290" TargetMode="External"/><Relationship Id="rId44" Type="http://schemas.openxmlformats.org/officeDocument/2006/relationships/hyperlink" Target="https://pubmed.ncbi.nlm.nih.gov/7883316/" TargetMode="External"/><Relationship Id="rId4" Type="http://schemas.openxmlformats.org/officeDocument/2006/relationships/settings" Target="settings.xml"/><Relationship Id="rId9" Type="http://schemas.openxmlformats.org/officeDocument/2006/relationships/hyperlink" Target="mailto:aswinkumar9881@gmail.com" TargetMode="External"/><Relationship Id="rId14" Type="http://schemas.openxmlformats.org/officeDocument/2006/relationships/hyperlink" Target="https://www.frontiersin.org/journals/medicine/articles/10.3389/fmed.2021.798031/full" TargetMode="External"/><Relationship Id="rId22" Type="http://schemas.openxmlformats.org/officeDocument/2006/relationships/hyperlink" Target="https://www.who.int/india/news-room/feature-stories/detail/india-vaccinates-30-million-children-against-measles-and-rubella-in-7-months" TargetMode="External"/><Relationship Id="rId27" Type="http://schemas.openxmlformats.org/officeDocument/2006/relationships/hyperlink" Target="https://pmc.ncbi.nlm.nih.gov/articles/PMC9831119/" TargetMode="External"/><Relationship Id="rId30" Type="http://schemas.openxmlformats.org/officeDocument/2006/relationships/hyperlink" Target="https://pmc.ncbi.nlm.nih.gov/articles/PMC6467562/" TargetMode="External"/><Relationship Id="rId35" Type="http://schemas.openxmlformats.org/officeDocument/2006/relationships/hyperlink" Target="https://pubmed.ncbi.nlm.nih.gov/40964759/" TargetMode="External"/><Relationship Id="rId43" Type="http://schemas.openxmlformats.org/officeDocument/2006/relationships/hyperlink" Target="https://www.cdc.gov/measles/hcp/clinical-overview/index.html" TargetMode="External"/><Relationship Id="rId48" Type="http://schemas.openxmlformats.org/officeDocument/2006/relationships/fontTable" Target="fontTable.xml"/><Relationship Id="rId8" Type="http://schemas.openxmlformats.org/officeDocument/2006/relationships/hyperlink" Target="mailto:aabjaparova@oshsu.k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5602A8-285A-460C-A8A8-4ED69661A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15</Pages>
  <Words>7405</Words>
  <Characters>42211</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dc:description/>
  <cp:lastModifiedBy>Bhima</cp:lastModifiedBy>
  <cp:revision>23</cp:revision>
  <dcterms:created xsi:type="dcterms:W3CDTF">2025-10-17T12:19:00Z</dcterms:created>
  <dcterms:modified xsi:type="dcterms:W3CDTF">2025-10-18T10:11:00Z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2025-02-21T00:00:00Z</vt:filetime>
  </property>
  <property fmtid="{D5CDD505-2E9C-101B-9397-08002B2CF9AE}" pid="3" name="Creator">
    <vt:lpwstr>Acrobat PDFMaker 11 для Word</vt:lpwstr>
  </property>
  <property fmtid="{D5CDD505-2E9C-101B-9397-08002B2CF9AE}" pid="4" name="LastSaved">
    <vt:filetime>2025-10-17T00:00:00Z</vt:filetime>
  </property>
  <property fmtid="{D5CDD505-2E9C-101B-9397-08002B2CF9AE}" pid="5" name="Producer">
    <vt:lpwstr>Adobe PDF Library 11.0</vt:lpwstr>
  </property>
  <property fmtid="{D5CDD505-2E9C-101B-9397-08002B2CF9AE}" pid="6" name="SourceModified">
    <vt:lpwstr>D:20250221034954</vt:lpwstr>
  </property>
</Properties>
</file>